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7B" w:rsidRDefault="005E327B" w:rsidP="005E327B">
      <w:pPr>
        <w:spacing w:after="6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листа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B3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0B0" w:rsidRPr="005B30B0" w:rsidRDefault="005B30B0" w:rsidP="005E327B">
      <w:pPr>
        <w:spacing w:after="6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2020 р. № 124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proofErr w:type="spellEnd"/>
    </w:p>
    <w:p w:rsidR="005E327B" w:rsidRPr="005E327B" w:rsidRDefault="005E327B" w:rsidP="005E327B">
      <w:pPr>
        <w:spacing w:after="60" w:line="264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610" w:rsidRPr="006C3D40" w:rsidRDefault="00415E58" w:rsidP="00F14A04">
      <w:pPr>
        <w:spacing w:after="60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6C3D40">
        <w:rPr>
          <w:rFonts w:ascii="Times New Roman" w:hAnsi="Times New Roman" w:cs="Times New Roman"/>
          <w:b/>
          <w:sz w:val="32"/>
          <w:szCs w:val="32"/>
          <w:lang w:val="ru-RU"/>
        </w:rPr>
        <w:t>Римське</w:t>
      </w:r>
      <w:proofErr w:type="spellEnd"/>
      <w:r w:rsidR="005F3610" w:rsidRPr="006C3D4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6C3D40">
        <w:rPr>
          <w:rFonts w:ascii="Times New Roman" w:hAnsi="Times New Roman" w:cs="Times New Roman"/>
          <w:b/>
          <w:sz w:val="32"/>
          <w:szCs w:val="32"/>
          <w:lang w:val="ru-RU"/>
        </w:rPr>
        <w:t>міністерське</w:t>
      </w:r>
      <w:proofErr w:type="spellEnd"/>
      <w:r w:rsidRPr="006C3D4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5F3610" w:rsidRPr="006C3D40">
        <w:rPr>
          <w:rFonts w:ascii="Times New Roman" w:hAnsi="Times New Roman" w:cs="Times New Roman"/>
          <w:b/>
          <w:sz w:val="32"/>
          <w:szCs w:val="32"/>
          <w:lang w:val="ru-RU"/>
        </w:rPr>
        <w:t>Комюніке</w:t>
      </w:r>
      <w:proofErr w:type="spellEnd"/>
    </w:p>
    <w:p w:rsidR="005F3610" w:rsidRPr="006C3D40" w:rsidRDefault="00415E58" w:rsidP="00F14A04">
      <w:pPr>
        <w:spacing w:after="60" w:line="264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Комюніке</w:t>
      </w:r>
      <w:proofErr w:type="spell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Конференції</w:t>
      </w:r>
      <w:proofErr w:type="spell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міні</w:t>
      </w:r>
      <w:proofErr w:type="gram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стр</w:t>
      </w:r>
      <w:proofErr w:type="gram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ів</w:t>
      </w:r>
      <w:proofErr w:type="spell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</w:t>
      </w: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які</w:t>
      </w:r>
      <w:proofErr w:type="spell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відповідають</w:t>
      </w:r>
      <w:proofErr w:type="spell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за </w:t>
      </w: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вищу</w:t>
      </w:r>
      <w:proofErr w:type="spellEnd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освіту</w:t>
      </w:r>
      <w:proofErr w:type="spellEnd"/>
    </w:p>
    <w:p w:rsidR="00415E58" w:rsidRPr="006C3D40" w:rsidRDefault="00415E58" w:rsidP="006C3D40">
      <w:pPr>
        <w:spacing w:after="120" w:line="264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C3D40">
        <w:rPr>
          <w:rFonts w:ascii="Times New Roman" w:hAnsi="Times New Roman" w:cs="Times New Roman"/>
          <w:b/>
          <w:sz w:val="30"/>
          <w:szCs w:val="30"/>
          <w:lang w:val="ru-RU"/>
        </w:rPr>
        <w:t>Рим, 19 листопада 2020 року</w:t>
      </w:r>
    </w:p>
    <w:p w:rsidR="005F3610" w:rsidRPr="00F14A04" w:rsidRDefault="00415E58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Ми,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Міністри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відповідальні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зустрічаючись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он-лайн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Римі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19 листопада 2020 року</w:t>
      </w: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відзначаємо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за 21 </w:t>
      </w:r>
      <w:proofErr w:type="spellStart"/>
      <w:proofErr w:type="gramStart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>Болонської</w:t>
      </w:r>
      <w:proofErr w:type="spellEnd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F61" w:rsidRPr="00F14A0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14A04">
        <w:rPr>
          <w:rFonts w:ascii="Times New Roman" w:hAnsi="Times New Roman" w:cs="Times New Roman"/>
          <w:sz w:val="28"/>
          <w:szCs w:val="28"/>
          <w:lang w:val="ru-RU"/>
        </w:rPr>
        <w:t>екларації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підтверджуємо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наше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інклюзивний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інноваційний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взаємопов’язаний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стійкий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(ЄПВО).</w:t>
      </w:r>
    </w:p>
    <w:p w:rsidR="00C26F61" w:rsidRPr="00F14A04" w:rsidRDefault="00C26F61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дякуємо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Італії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ідготовці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взявши до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пандемії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COVID-19.</w:t>
      </w:r>
    </w:p>
    <w:p w:rsidR="00C26F61" w:rsidRPr="00F14A04" w:rsidRDefault="00C26F61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ЄПВО –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унікальна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співпр</w:t>
      </w:r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>аця</w:t>
      </w:r>
      <w:proofErr w:type="spellEnd"/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>побудована</w:t>
      </w:r>
      <w:proofErr w:type="spellEnd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>дові</w:t>
      </w:r>
      <w:proofErr w:type="gramStart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322F" w:rsidRPr="00F14A04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зацікавлені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стейкголдери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разом над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визначенням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досягненням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ізноманітності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наших культур,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середовищ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зобов’я</w:t>
      </w:r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зання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прозорості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неперевершені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інновацій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22F" w:rsidRPr="00F14A04" w:rsidRDefault="005E322F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Перед нашими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суспільствами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стоять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безпрецедентні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поширенням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COVID-19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наслідками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ітовому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масштабі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Пандемія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показала,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наскільки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взаємозалежні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вразливими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бути. </w:t>
      </w: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Вона довела,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світового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співтовариства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імперативом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людська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солідарність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щиро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вдячні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визнаємо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зусилля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тидії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викликам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ідтвреджуємо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нашу </w:t>
      </w:r>
      <w:proofErr w:type="spellStart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рішучість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>інклюзивної</w:t>
      </w:r>
      <w:proofErr w:type="spellEnd"/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вищо</w:t>
      </w:r>
      <w:r w:rsidR="00F14A04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DB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31E79" w:rsidRPr="00F14A04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повного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спектру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3DBA" w:rsidRPr="00F14A04" w:rsidRDefault="008E3DBA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переконані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нашим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суспільствам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численні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глобальному миру,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демократичним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цінностям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свободі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здоров’</w:t>
      </w:r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добробуту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proofErr w:type="gram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івні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тими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спричинені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пандемією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FF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належним</w:t>
      </w:r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для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ішень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післякризовий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розвито</w:t>
      </w:r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>звичайно</w:t>
      </w:r>
      <w:proofErr w:type="spellEnd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503"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B82503" w:rsidRPr="005B2F27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="00B82503"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5B2F27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="00B82503"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A67057"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057" w:rsidRPr="005B2F27">
        <w:rPr>
          <w:rFonts w:ascii="Times New Roman" w:hAnsi="Times New Roman" w:cs="Times New Roman"/>
          <w:sz w:val="28"/>
          <w:szCs w:val="28"/>
          <w:lang w:val="ru-RU"/>
        </w:rPr>
        <w:t>зелені</w:t>
      </w:r>
      <w:proofErr w:type="spellEnd"/>
      <w:r w:rsidR="00A67057"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7057" w:rsidRPr="005B2F27">
        <w:rPr>
          <w:rFonts w:ascii="Times New Roman" w:hAnsi="Times New Roman" w:cs="Times New Roman"/>
          <w:sz w:val="28"/>
          <w:szCs w:val="28"/>
          <w:lang w:val="ru-RU"/>
        </w:rPr>
        <w:t>сталі</w:t>
      </w:r>
      <w:proofErr w:type="spellEnd"/>
      <w:r w:rsidR="00A67057"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057" w:rsidRPr="005B2F2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F27">
        <w:rPr>
          <w:rFonts w:ascii="Times New Roman" w:hAnsi="Times New Roman" w:cs="Times New Roman"/>
          <w:sz w:val="28"/>
          <w:szCs w:val="28"/>
          <w:lang w:val="ru-RU"/>
        </w:rPr>
        <w:t>стійкі</w:t>
      </w:r>
      <w:proofErr w:type="spellEnd"/>
      <w:r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F2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F2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B2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F27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5B2F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4E7C" w:rsidRPr="00F14A04" w:rsidRDefault="007A09C5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прагнемо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подолати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іальну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нерівність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досі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обмежує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ЄПВО.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Цифровізація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діджиталізація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) дозволила нашим системам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функціонувати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надзвичайної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глобального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посилене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виявило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низку проблем.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транснаціональної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іджень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повинна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відігравати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провідну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знаходженні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057" w:rsidRPr="00F14A04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="00703EA1" w:rsidRPr="00F1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4E7C" w:rsidRPr="00F14A04" w:rsidRDefault="00A74E7C" w:rsidP="00F14A0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вітати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Сан-Марино як нового члена ЄПВО. Сан-Марино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отримуватиме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14A04">
        <w:rPr>
          <w:rFonts w:ascii="Times New Roman" w:hAnsi="Times New Roman" w:cs="Times New Roman"/>
          <w:sz w:val="28"/>
          <w:szCs w:val="28"/>
          <w:lang w:val="ru-RU"/>
        </w:rPr>
        <w:t>ідтримку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зобов’язань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узгодженої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дорожньої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карти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4E7C" w:rsidRPr="00F14A04" w:rsidRDefault="00E03E00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Наше </w:t>
      </w:r>
      <w:proofErr w:type="spellStart"/>
      <w:r w:rsidRPr="00F14A04">
        <w:rPr>
          <w:rFonts w:ascii="Times New Roman" w:hAnsi="Times New Roman" w:cs="Times New Roman"/>
          <w:b/>
          <w:sz w:val="28"/>
          <w:szCs w:val="28"/>
          <w:lang w:val="ru-RU"/>
        </w:rPr>
        <w:t>бачення</w:t>
      </w:r>
      <w:proofErr w:type="spellEnd"/>
      <w:r w:rsidRPr="00F14A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F14A04">
        <w:rPr>
          <w:rFonts w:ascii="Times New Roman" w:hAnsi="Times New Roman" w:cs="Times New Roman"/>
          <w:b/>
          <w:sz w:val="28"/>
          <w:szCs w:val="28"/>
          <w:lang w:val="ru-RU"/>
        </w:rPr>
        <w:t>візія</w:t>
      </w:r>
      <w:proofErr w:type="spellEnd"/>
      <w:r w:rsidRPr="00F14A0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03E00" w:rsidRPr="00F14A04" w:rsidRDefault="00143270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розглядаємо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ЄПВО як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gram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випускн</w:t>
      </w:r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ики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пересуватися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навчатися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викладати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ЄПВО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візії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) буде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поважати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фундаментальні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цінн</w:t>
      </w:r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ості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="00A4074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верховенства права.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заохочувати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критичне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розширить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пропонуються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іджен</w:t>
      </w:r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те</w:t>
      </w:r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усім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хт</w:t>
      </w:r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навчається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івні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прагнень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визнаємо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972CB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бу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у наших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сис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темах,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причому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них</w:t>
      </w:r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виходять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межі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потягну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узгодження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широкими</w:t>
      </w:r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національними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фінансовими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іальними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стратегіями</w:t>
      </w:r>
      <w:proofErr w:type="spellEnd"/>
      <w:r w:rsidR="00E03E00" w:rsidRPr="00F1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29AB" w:rsidRPr="00F14A04" w:rsidRDefault="00D429AB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візії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), ми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обов’язуємось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до 2030 року 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будувати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інклюзивний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інноваційний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взаємопов’язаний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ЄПВО,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здатний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ідтримувати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стійкою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згуртованою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мирною </w:t>
      </w:r>
      <w:proofErr w:type="spellStart"/>
      <w:r w:rsidR="004F6E9E" w:rsidRPr="00F14A04">
        <w:rPr>
          <w:rFonts w:ascii="Times New Roman" w:hAnsi="Times New Roman" w:cs="Times New Roman"/>
          <w:sz w:val="28"/>
          <w:szCs w:val="28"/>
          <w:lang w:val="ru-RU"/>
        </w:rPr>
        <w:t>Європу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29AB" w:rsidRPr="00F14A04" w:rsidRDefault="008811BB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="006C3D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нклюзивний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навчається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матиме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івноправний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віти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отримає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заверше</w:t>
      </w:r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нні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29AB" w:rsidRPr="00F14A04" w:rsidRDefault="008811BB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="006C3D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нноваційний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запровадить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узгоджені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практики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D048A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тісно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поєднані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ідженнями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48A" w:rsidRPr="00F14A04" w:rsidRDefault="008811BB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="006C3D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4A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заємопов’язаний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="00F81E67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1E67" w:rsidRPr="00F14A0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рамки та</w:t>
      </w:r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інструмен</w:t>
      </w:r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продовжать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вдосконалюв</w:t>
      </w:r>
      <w:r w:rsidR="00F81E67" w:rsidRPr="00F14A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39E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503" w:rsidRPr="00F14A04">
        <w:rPr>
          <w:rFonts w:ascii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мобільність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працівникі</w:t>
      </w:r>
      <w:proofErr w:type="gram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="00D429AB" w:rsidRPr="00F14A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29AB" w:rsidRPr="00F14A04" w:rsidRDefault="00BD048A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Заклади вищої освіти мають потенціал для досягнення значних змін – покращення знань, навичок і компетенцій</w:t>
      </w:r>
      <w:r w:rsidR="002C4B10" w:rsidRPr="00F14A04">
        <w:rPr>
          <w:rFonts w:ascii="Times New Roman" w:hAnsi="Times New Roman" w:cs="Times New Roman"/>
          <w:sz w:val="28"/>
          <w:szCs w:val="28"/>
        </w:rPr>
        <w:t xml:space="preserve"> студентів та</w:t>
      </w:r>
      <w:r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B52716" w:rsidRPr="00F14A04">
        <w:rPr>
          <w:rFonts w:ascii="Times New Roman" w:hAnsi="Times New Roman" w:cs="Times New Roman"/>
          <w:sz w:val="28"/>
          <w:szCs w:val="28"/>
        </w:rPr>
        <w:t xml:space="preserve">суспільства, щоб </w:t>
      </w:r>
      <w:r w:rsidR="00B52716" w:rsidRPr="00F14A04">
        <w:rPr>
          <w:rFonts w:ascii="Times New Roman" w:hAnsi="Times New Roman" w:cs="Times New Roman"/>
          <w:sz w:val="28"/>
          <w:szCs w:val="28"/>
        </w:rPr>
        <w:lastRenderedPageBreak/>
        <w:t>сприяти сталому розвит</w:t>
      </w:r>
      <w:r w:rsidR="002C4B10" w:rsidRPr="00F14A04">
        <w:rPr>
          <w:rFonts w:ascii="Times New Roman" w:hAnsi="Times New Roman" w:cs="Times New Roman"/>
          <w:sz w:val="28"/>
          <w:szCs w:val="28"/>
        </w:rPr>
        <w:t>ку, захисту навколишнього середовища й</w:t>
      </w:r>
      <w:r w:rsidR="00B52716" w:rsidRPr="00F14A04">
        <w:rPr>
          <w:rFonts w:ascii="Times New Roman" w:hAnsi="Times New Roman" w:cs="Times New Roman"/>
          <w:sz w:val="28"/>
          <w:szCs w:val="28"/>
        </w:rPr>
        <w:t xml:space="preserve"> вирішенню інших критичних завдань</w:t>
      </w:r>
      <w:r w:rsidRPr="00F14A04">
        <w:rPr>
          <w:rFonts w:ascii="Times New Roman" w:hAnsi="Times New Roman" w:cs="Times New Roman"/>
          <w:sz w:val="28"/>
          <w:szCs w:val="28"/>
        </w:rPr>
        <w:t>.</w:t>
      </w:r>
      <w:r w:rsidR="002C4B10" w:rsidRPr="00F14A04">
        <w:rPr>
          <w:rFonts w:ascii="Times New Roman" w:hAnsi="Times New Roman" w:cs="Times New Roman"/>
          <w:sz w:val="28"/>
          <w:szCs w:val="28"/>
        </w:rPr>
        <w:t xml:space="preserve"> Вони повинні здійснювати підготовку </w:t>
      </w:r>
      <w:r w:rsidR="00B52716" w:rsidRPr="00F14A04">
        <w:rPr>
          <w:rFonts w:ascii="Times New Roman" w:hAnsi="Times New Roman" w:cs="Times New Roman"/>
          <w:sz w:val="28"/>
          <w:szCs w:val="28"/>
        </w:rPr>
        <w:t>тих, хто навчається, стати активними, критичними і відповідальними громадянами</w:t>
      </w:r>
      <w:r w:rsidR="002C4B10" w:rsidRPr="00F14A04">
        <w:rPr>
          <w:rFonts w:ascii="Times New Roman" w:hAnsi="Times New Roman" w:cs="Times New Roman"/>
          <w:sz w:val="28"/>
          <w:szCs w:val="28"/>
        </w:rPr>
        <w:t xml:space="preserve"> та запропо</w:t>
      </w:r>
      <w:r w:rsidR="00ED395B" w:rsidRPr="00F14A04">
        <w:rPr>
          <w:rFonts w:ascii="Times New Roman" w:hAnsi="Times New Roman" w:cs="Times New Roman"/>
          <w:sz w:val="28"/>
          <w:szCs w:val="28"/>
        </w:rPr>
        <w:t>нувати можливості навчання впродовж життя, що</w:t>
      </w:r>
      <w:r w:rsidR="002C4B10" w:rsidRPr="00F14A04">
        <w:rPr>
          <w:rFonts w:ascii="Times New Roman" w:hAnsi="Times New Roman" w:cs="Times New Roman"/>
          <w:sz w:val="28"/>
          <w:szCs w:val="28"/>
        </w:rPr>
        <w:t>б підтримувати їх у їхній соціальній ролі.</w:t>
      </w:r>
    </w:p>
    <w:p w:rsidR="00584288" w:rsidRPr="00F14A04" w:rsidRDefault="00B7253F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A04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буде</w:t>
      </w:r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фактором у </w:t>
      </w:r>
      <w:proofErr w:type="spellStart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досягненні</w:t>
      </w:r>
      <w:proofErr w:type="spell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ілей</w:t>
      </w:r>
      <w:proofErr w:type="spell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(ЦСР) ООН. Ми </w:t>
      </w:r>
      <w:proofErr w:type="spellStart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>зобов’язуємося</w:t>
      </w:r>
      <w:proofErr w:type="spellEnd"/>
      <w:r w:rsidR="00584288" w:rsidRPr="00F1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84288" w:rsidRPr="00F14A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4288" w:rsidRPr="00F14A04">
        <w:rPr>
          <w:rFonts w:ascii="Times New Roman" w:hAnsi="Times New Roman" w:cs="Times New Roman"/>
          <w:sz w:val="28"/>
          <w:szCs w:val="28"/>
        </w:rPr>
        <w:t>ідтримувати наші заклади вищої освіти у забезпеченні їх освітнього, науково-дослідного та інно</w:t>
      </w:r>
      <w:r w:rsidRPr="00F14A04">
        <w:rPr>
          <w:rFonts w:ascii="Times New Roman" w:hAnsi="Times New Roman" w:cs="Times New Roman"/>
          <w:sz w:val="28"/>
          <w:szCs w:val="28"/>
        </w:rPr>
        <w:t>в</w:t>
      </w:r>
      <w:r w:rsidR="00584288" w:rsidRPr="00F14A04">
        <w:rPr>
          <w:rFonts w:ascii="Times New Roman" w:hAnsi="Times New Roman" w:cs="Times New Roman"/>
          <w:sz w:val="28"/>
          <w:szCs w:val="28"/>
        </w:rPr>
        <w:t>аційного потенціалу для досягнення цих основних глобальних цілей</w:t>
      </w:r>
      <w:r w:rsidRPr="00F14A04">
        <w:rPr>
          <w:rFonts w:ascii="Times New Roman" w:hAnsi="Times New Roman" w:cs="Times New Roman"/>
          <w:sz w:val="28"/>
          <w:szCs w:val="28"/>
        </w:rPr>
        <w:t xml:space="preserve"> і залучення ресурсів, щоб наші системи вищо</w:t>
      </w:r>
      <w:r w:rsidR="00E21F2C" w:rsidRPr="00F14A04">
        <w:rPr>
          <w:rFonts w:ascii="Times New Roman" w:hAnsi="Times New Roman" w:cs="Times New Roman"/>
          <w:sz w:val="28"/>
          <w:szCs w:val="28"/>
        </w:rPr>
        <w:t>ї освіти забезпечили реалізацію</w:t>
      </w:r>
      <w:r w:rsidRPr="00F14A04">
        <w:rPr>
          <w:rFonts w:ascii="Times New Roman" w:hAnsi="Times New Roman" w:cs="Times New Roman"/>
          <w:sz w:val="28"/>
          <w:szCs w:val="28"/>
        </w:rPr>
        <w:t xml:space="preserve"> ЦСР.</w:t>
      </w:r>
      <w:r w:rsidR="00E21F2C" w:rsidRPr="00F14A04">
        <w:rPr>
          <w:rFonts w:ascii="Times New Roman" w:hAnsi="Times New Roman" w:cs="Times New Roman"/>
          <w:sz w:val="28"/>
          <w:szCs w:val="28"/>
        </w:rPr>
        <w:t xml:space="preserve"> Рух до кліматичної нейтральності є важливим для всіх нас, і ті, хто навча</w:t>
      </w:r>
      <w:r w:rsidR="00B25EF3">
        <w:rPr>
          <w:rFonts w:ascii="Times New Roman" w:hAnsi="Times New Roman" w:cs="Times New Roman"/>
          <w:sz w:val="28"/>
          <w:szCs w:val="28"/>
        </w:rPr>
        <w:t>є</w:t>
      </w:r>
      <w:r w:rsidR="00E21F2C" w:rsidRPr="00F14A04">
        <w:rPr>
          <w:rFonts w:ascii="Times New Roman" w:hAnsi="Times New Roman" w:cs="Times New Roman"/>
          <w:sz w:val="28"/>
          <w:szCs w:val="28"/>
        </w:rPr>
        <w:t>ться повинні бути готові до нових «зелених» робочих місць та діяльності. Їм слід пропонувати можливості підвищення кв</w:t>
      </w:r>
      <w:r w:rsidR="00F81E67" w:rsidRPr="00F14A04">
        <w:rPr>
          <w:rFonts w:ascii="Times New Roman" w:hAnsi="Times New Roman" w:cs="Times New Roman"/>
          <w:sz w:val="28"/>
          <w:szCs w:val="28"/>
        </w:rPr>
        <w:t>аліфікації та перекваліфікації у</w:t>
      </w:r>
      <w:r w:rsidR="00E21F2C" w:rsidRPr="00F14A04">
        <w:rPr>
          <w:rFonts w:ascii="Times New Roman" w:hAnsi="Times New Roman" w:cs="Times New Roman"/>
          <w:sz w:val="28"/>
          <w:szCs w:val="28"/>
        </w:rPr>
        <w:t xml:space="preserve"> перспективі навчання впр</w:t>
      </w:r>
      <w:r w:rsidR="00A3101C" w:rsidRPr="00F14A04">
        <w:rPr>
          <w:rFonts w:ascii="Times New Roman" w:hAnsi="Times New Roman" w:cs="Times New Roman"/>
          <w:sz w:val="28"/>
          <w:szCs w:val="28"/>
        </w:rPr>
        <w:t>одовж життя, а також надавати</w:t>
      </w:r>
      <w:r w:rsidR="00F81E67" w:rsidRPr="00F14A04">
        <w:rPr>
          <w:rFonts w:ascii="Times New Roman" w:hAnsi="Times New Roman" w:cs="Times New Roman"/>
          <w:sz w:val="28"/>
          <w:szCs w:val="28"/>
        </w:rPr>
        <w:t xml:space="preserve"> можливість розробляти і</w:t>
      </w:r>
      <w:r w:rsidR="00E21F2C" w:rsidRPr="00F14A04">
        <w:rPr>
          <w:rFonts w:ascii="Times New Roman" w:hAnsi="Times New Roman" w:cs="Times New Roman"/>
          <w:sz w:val="28"/>
          <w:szCs w:val="28"/>
        </w:rPr>
        <w:t xml:space="preserve"> застосо</w:t>
      </w:r>
      <w:r w:rsidR="00A3101C" w:rsidRPr="00F14A04">
        <w:rPr>
          <w:rFonts w:ascii="Times New Roman" w:hAnsi="Times New Roman" w:cs="Times New Roman"/>
          <w:sz w:val="28"/>
          <w:szCs w:val="28"/>
        </w:rPr>
        <w:t>вувати нові технології</w:t>
      </w:r>
      <w:r w:rsidR="00F81E67" w:rsidRPr="00F14A04">
        <w:rPr>
          <w:rFonts w:ascii="Times New Roman" w:hAnsi="Times New Roman" w:cs="Times New Roman"/>
          <w:sz w:val="28"/>
          <w:szCs w:val="28"/>
        </w:rPr>
        <w:t xml:space="preserve"> та</w:t>
      </w:r>
      <w:r w:rsidR="00A3101C" w:rsidRPr="00F14A04">
        <w:rPr>
          <w:rFonts w:ascii="Times New Roman" w:hAnsi="Times New Roman" w:cs="Times New Roman"/>
          <w:sz w:val="28"/>
          <w:szCs w:val="28"/>
        </w:rPr>
        <w:t xml:space="preserve"> підходи.</w:t>
      </w:r>
    </w:p>
    <w:p w:rsidR="00A36BA3" w:rsidRPr="00F14A04" w:rsidRDefault="00A36BA3" w:rsidP="006C3D40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Якісна освіта і надалі залишатиметься</w:t>
      </w:r>
      <w:r w:rsidR="00200154"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200154" w:rsidRPr="005B2F27">
        <w:rPr>
          <w:rFonts w:ascii="Times New Roman" w:hAnsi="Times New Roman" w:cs="Times New Roman"/>
          <w:sz w:val="28"/>
          <w:szCs w:val="28"/>
        </w:rPr>
        <w:t>відмітною</w:t>
      </w:r>
      <w:r w:rsidRPr="005B2F27">
        <w:rPr>
          <w:rFonts w:ascii="Times New Roman" w:hAnsi="Times New Roman" w:cs="Times New Roman"/>
          <w:sz w:val="28"/>
          <w:szCs w:val="28"/>
        </w:rPr>
        <w:t xml:space="preserve"> ознакою</w:t>
      </w:r>
      <w:r w:rsidRPr="00F14A04">
        <w:rPr>
          <w:rFonts w:ascii="Times New Roman" w:hAnsi="Times New Roman" w:cs="Times New Roman"/>
          <w:sz w:val="28"/>
          <w:szCs w:val="28"/>
        </w:rPr>
        <w:t xml:space="preserve"> (наріжним «каменем») ЄПВО. Міцну культуру академічної і наукової доброчесності, яка блокує всі форми академічного шахрайства, перекручення</w:t>
      </w:r>
      <w:r w:rsidR="005E2275" w:rsidRPr="00F14A04">
        <w:rPr>
          <w:rFonts w:ascii="Times New Roman" w:hAnsi="Times New Roman" w:cs="Times New Roman"/>
          <w:sz w:val="28"/>
          <w:szCs w:val="28"/>
        </w:rPr>
        <w:t xml:space="preserve"> (спотворення)</w:t>
      </w:r>
      <w:r w:rsidRPr="00F14A04">
        <w:rPr>
          <w:rFonts w:ascii="Times New Roman" w:hAnsi="Times New Roman" w:cs="Times New Roman"/>
          <w:sz w:val="28"/>
          <w:szCs w:val="28"/>
        </w:rPr>
        <w:t xml:space="preserve"> наукової істини, підтримуватимуть усі заклади вищої освіти й всі органи державної влади.</w:t>
      </w:r>
      <w:r w:rsidR="006C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8A" w:rsidRPr="00F14A04" w:rsidRDefault="003B33CF" w:rsidP="006C3D40">
      <w:pPr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Фундаментальні цінності</w:t>
      </w:r>
    </w:p>
    <w:p w:rsidR="003B33CF" w:rsidRPr="00F14A04" w:rsidRDefault="00C447A9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підтверджуємо свою відданість сприянню й захисту наших спільних фундаментальних академічних цінностей в усьому ЄПВО шляхом активізації політичного діалогу й співпраці як необхідної основи для якісного навчання, викладання і досліджень, а також демократичних суспільств. Ми зобов’язуємося підтримувати інституційну автономію, академічну свободу і доброчесність, участь студентів і співробітників в управлін</w:t>
      </w:r>
      <w:r w:rsidR="00702C7C" w:rsidRPr="00F14A04">
        <w:rPr>
          <w:rFonts w:ascii="Times New Roman" w:hAnsi="Times New Roman" w:cs="Times New Roman"/>
          <w:sz w:val="28"/>
          <w:szCs w:val="28"/>
        </w:rPr>
        <w:t xml:space="preserve">ні вищою освітою </w:t>
      </w:r>
      <w:r w:rsidR="00702C7C" w:rsidRPr="005B2F27">
        <w:rPr>
          <w:rFonts w:ascii="Times New Roman" w:hAnsi="Times New Roman" w:cs="Times New Roman"/>
          <w:sz w:val="28"/>
          <w:szCs w:val="28"/>
        </w:rPr>
        <w:t>та публічну</w:t>
      </w:r>
      <w:r w:rsidRPr="005B2F27">
        <w:rPr>
          <w:rFonts w:ascii="Times New Roman" w:hAnsi="Times New Roman" w:cs="Times New Roman"/>
          <w:sz w:val="28"/>
          <w:szCs w:val="28"/>
        </w:rPr>
        <w:t xml:space="preserve"> відповідальність</w:t>
      </w:r>
      <w:r w:rsidR="00702C7C" w:rsidRPr="005B2F27">
        <w:rPr>
          <w:rFonts w:ascii="Times New Roman" w:hAnsi="Times New Roman" w:cs="Times New Roman"/>
          <w:sz w:val="28"/>
          <w:szCs w:val="28"/>
        </w:rPr>
        <w:t xml:space="preserve"> як за вищу освіту, так і самої вищої освіти.</w:t>
      </w:r>
      <w:r w:rsidR="00702C7C" w:rsidRPr="00F14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FE" w:rsidRPr="00F14A04" w:rsidRDefault="000E76E9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просимо </w:t>
      </w:r>
      <w:r w:rsidR="00D577FE" w:rsidRPr="00F14A04">
        <w:rPr>
          <w:rFonts w:ascii="Times New Roman" w:hAnsi="Times New Roman" w:cs="Times New Roman"/>
          <w:sz w:val="28"/>
          <w:szCs w:val="28"/>
        </w:rPr>
        <w:t>Групу супроводу Болонського процесу</w:t>
      </w:r>
      <w:r w:rsidRPr="00F14A04">
        <w:rPr>
          <w:rFonts w:ascii="Times New Roman" w:hAnsi="Times New Roman" w:cs="Times New Roman"/>
          <w:sz w:val="28"/>
          <w:szCs w:val="28"/>
        </w:rPr>
        <w:t xml:space="preserve"> (BFUG</w:t>
      </w:r>
      <w:r w:rsidR="00D577FE" w:rsidRPr="00F14A04">
        <w:rPr>
          <w:rFonts w:ascii="Times New Roman" w:hAnsi="Times New Roman" w:cs="Times New Roman"/>
          <w:sz w:val="28"/>
          <w:szCs w:val="28"/>
        </w:rPr>
        <w:t>) розробити рамк</w:t>
      </w:r>
      <w:r w:rsidR="00445D29" w:rsidRPr="00F14A04">
        <w:rPr>
          <w:rFonts w:ascii="Times New Roman" w:hAnsi="Times New Roman" w:cs="Times New Roman"/>
          <w:sz w:val="28"/>
          <w:szCs w:val="28"/>
        </w:rPr>
        <w:t xml:space="preserve">у, </w:t>
      </w:r>
      <w:r w:rsidRPr="00F14A04">
        <w:rPr>
          <w:rFonts w:ascii="Times New Roman" w:hAnsi="Times New Roman" w:cs="Times New Roman"/>
          <w:sz w:val="28"/>
          <w:szCs w:val="28"/>
        </w:rPr>
        <w:t xml:space="preserve">щодо </w:t>
      </w:r>
      <w:r w:rsidR="00445D29" w:rsidRPr="00F14A04">
        <w:rPr>
          <w:rFonts w:ascii="Times New Roman" w:hAnsi="Times New Roman" w:cs="Times New Roman"/>
          <w:sz w:val="28"/>
          <w:szCs w:val="28"/>
        </w:rPr>
        <w:t>трактування, розуміння і визначення</w:t>
      </w:r>
      <w:r w:rsidR="00D577FE" w:rsidRPr="00F14A04">
        <w:rPr>
          <w:rFonts w:ascii="Times New Roman" w:hAnsi="Times New Roman" w:cs="Times New Roman"/>
          <w:sz w:val="28"/>
          <w:szCs w:val="28"/>
        </w:rPr>
        <w:t xml:space="preserve"> фундаментальних цінностей ЄПВО, яка буде сприяти саморефлексії, конструктивному діалогу і колегіальному навчанню національних органів</w:t>
      </w:r>
      <w:r w:rsidRPr="00F14A04">
        <w:rPr>
          <w:rFonts w:ascii="Times New Roman" w:hAnsi="Times New Roman" w:cs="Times New Roman"/>
          <w:sz w:val="28"/>
          <w:szCs w:val="28"/>
        </w:rPr>
        <w:t xml:space="preserve"> влади, закладів вищої освіти і</w:t>
      </w:r>
      <w:r w:rsidR="00D577FE" w:rsidRPr="00F14A04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F14A04">
        <w:rPr>
          <w:rFonts w:ascii="Times New Roman" w:hAnsi="Times New Roman" w:cs="Times New Roman"/>
          <w:sz w:val="28"/>
          <w:szCs w:val="28"/>
        </w:rPr>
        <w:t xml:space="preserve">, і, </w:t>
      </w:r>
      <w:r w:rsidR="00D577FE" w:rsidRPr="00F14A04">
        <w:rPr>
          <w:rFonts w:ascii="Times New Roman" w:hAnsi="Times New Roman" w:cs="Times New Roman"/>
          <w:sz w:val="28"/>
          <w:szCs w:val="28"/>
        </w:rPr>
        <w:t>водночас</w:t>
      </w:r>
      <w:r w:rsidRPr="00F14A04">
        <w:rPr>
          <w:rFonts w:ascii="Times New Roman" w:hAnsi="Times New Roman" w:cs="Times New Roman"/>
          <w:sz w:val="28"/>
          <w:szCs w:val="28"/>
        </w:rPr>
        <w:t>,</w:t>
      </w:r>
      <w:r w:rsidR="00D577FE" w:rsidRPr="00F14A04">
        <w:rPr>
          <w:rFonts w:ascii="Times New Roman" w:hAnsi="Times New Roman" w:cs="Times New Roman"/>
          <w:sz w:val="28"/>
          <w:szCs w:val="28"/>
        </w:rPr>
        <w:t xml:space="preserve"> дозволить оцінити ступінь дотримання та впровадження їх у наших системах. Ми приймаємо визначення академічної свободи як свободи академічних працівників і студентів займатися дослідженнями, викладанням, навчанням і комунікацією в суспільстві без</w:t>
      </w:r>
      <w:r w:rsidR="00445D29" w:rsidRPr="00F14A04">
        <w:rPr>
          <w:rFonts w:ascii="Times New Roman" w:hAnsi="Times New Roman" w:cs="Times New Roman"/>
          <w:sz w:val="28"/>
          <w:szCs w:val="28"/>
        </w:rPr>
        <w:t xml:space="preserve"> втручання і</w:t>
      </w:r>
      <w:r w:rsidR="00D577FE" w:rsidRPr="00F14A04">
        <w:rPr>
          <w:rFonts w:ascii="Times New Roman" w:hAnsi="Times New Roman" w:cs="Times New Roman"/>
          <w:sz w:val="28"/>
          <w:szCs w:val="28"/>
        </w:rPr>
        <w:t xml:space="preserve"> остраху репресій (Додаток 1).</w:t>
      </w:r>
    </w:p>
    <w:p w:rsidR="00D577FE" w:rsidRPr="00F14A04" w:rsidRDefault="00104B63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</w:t>
      </w:r>
      <w:r w:rsidR="00702AF0" w:rsidRPr="00F14A04">
        <w:rPr>
          <w:rFonts w:ascii="Times New Roman" w:hAnsi="Times New Roman" w:cs="Times New Roman"/>
          <w:sz w:val="28"/>
          <w:szCs w:val="28"/>
        </w:rPr>
        <w:t xml:space="preserve">підтверджуємо своє зобов’язання плекати етику, прозорість і доброчесність як </w:t>
      </w:r>
      <w:r w:rsidR="006C3D40">
        <w:rPr>
          <w:rFonts w:ascii="Times New Roman" w:hAnsi="Times New Roman" w:cs="Times New Roman"/>
          <w:sz w:val="28"/>
          <w:szCs w:val="28"/>
        </w:rPr>
        <w:t>в</w:t>
      </w:r>
      <w:r w:rsidR="00702AF0" w:rsidRPr="00F14A04">
        <w:rPr>
          <w:rFonts w:ascii="Times New Roman" w:hAnsi="Times New Roman" w:cs="Times New Roman"/>
          <w:sz w:val="28"/>
          <w:szCs w:val="28"/>
        </w:rPr>
        <w:t xml:space="preserve"> освіті та</w:t>
      </w:r>
      <w:r w:rsidRPr="00F14A04">
        <w:rPr>
          <w:rFonts w:ascii="Times New Roman" w:hAnsi="Times New Roman" w:cs="Times New Roman"/>
          <w:sz w:val="28"/>
          <w:szCs w:val="28"/>
        </w:rPr>
        <w:t xml:space="preserve"> дослідженнях, так і за допомогою</w:t>
      </w:r>
      <w:r w:rsidR="00702AF0" w:rsidRPr="00F14A04">
        <w:rPr>
          <w:rFonts w:ascii="Times New Roman" w:hAnsi="Times New Roman" w:cs="Times New Roman"/>
          <w:sz w:val="28"/>
          <w:szCs w:val="28"/>
        </w:rPr>
        <w:t xml:space="preserve"> освіти й </w:t>
      </w:r>
      <w:r w:rsidR="00702AF0" w:rsidRPr="00F14A04">
        <w:rPr>
          <w:rFonts w:ascii="Times New Roman" w:hAnsi="Times New Roman" w:cs="Times New Roman"/>
          <w:sz w:val="28"/>
          <w:szCs w:val="28"/>
        </w:rPr>
        <w:lastRenderedPageBreak/>
        <w:t>досліджень, і зазначаємо, що Платформа Ради Європи з питань етики, прозорості та доброчесності в освіті (ETINED) дає можливість для всіх членів, консультативних членів та партнерів ЄПВО співпрацювати заради досягнення цієї мети.</w:t>
      </w:r>
    </w:p>
    <w:p w:rsidR="006C3D40" w:rsidRDefault="00E444B5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Побудова майбутнього</w:t>
      </w:r>
      <w:r w:rsidR="006C3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ADC" w:rsidRPr="006C3D40" w:rsidRDefault="00EE4ADC" w:rsidP="006C3D40">
      <w:pPr>
        <w:pStyle w:val="a4"/>
        <w:numPr>
          <w:ilvl w:val="0"/>
          <w:numId w:val="3"/>
        </w:numPr>
        <w:spacing w:after="6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D40">
        <w:rPr>
          <w:rFonts w:ascii="Times New Roman" w:hAnsi="Times New Roman" w:cs="Times New Roman"/>
          <w:b/>
          <w:sz w:val="28"/>
          <w:szCs w:val="28"/>
        </w:rPr>
        <w:t>Інклюзивний ЄПВО</w:t>
      </w:r>
    </w:p>
    <w:p w:rsidR="0094551C" w:rsidRPr="00F14A04" w:rsidRDefault="000B39A9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Соціально інклюзивна вища освіта залишається у центрі уваги ЄПВО і матиме своїм завданням надання можливостей для неупередженого залучення до неї осіб із усіх частин (прошарків) суспільства. Особи, які навчаються, маючи різноманітне соціально-економічне та культурне походження, культурну, професійну підготовку й освіту, повинні мати можливість та інструменти для активного пошуку й використання найбільш корисних для себе освітніх можливостей у будь-який період свого життя.</w:t>
      </w:r>
    </w:p>
    <w:p w:rsidR="000B39A9" w:rsidRPr="00F14A04" w:rsidRDefault="000B39A9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зобов’язуємося посилю</w:t>
      </w:r>
      <w:r w:rsidR="00F025C2" w:rsidRPr="00F14A04">
        <w:rPr>
          <w:rFonts w:ascii="Times New Roman" w:hAnsi="Times New Roman" w:cs="Times New Roman"/>
          <w:sz w:val="28"/>
          <w:szCs w:val="28"/>
        </w:rPr>
        <w:t>вати соціальну інклюзію і покращувати якість</w:t>
      </w:r>
      <w:r w:rsidR="00D35CE3" w:rsidRPr="00F14A04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F14A04">
        <w:rPr>
          <w:rFonts w:ascii="Times New Roman" w:hAnsi="Times New Roman" w:cs="Times New Roman"/>
          <w:sz w:val="28"/>
          <w:szCs w:val="28"/>
        </w:rPr>
        <w:t xml:space="preserve">, у повній мірі використовуючи нові можливості, надані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цифровізацією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діджиталізацією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). В той час, як наші суспільства максимально покладаються на інноваційні технології, включаючи штучний інтелект, ми повинні забезпечити дотримання високих етичних стандартів і прав людини, що не матимуть негативних наслідків для інклюзії. Водночас, ми визнаємо, що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) не пропонує рішень, що «влаштовують всіх», і просимо </w:t>
      </w:r>
      <w:r w:rsidR="00D35CE3" w:rsidRPr="00F14A04">
        <w:rPr>
          <w:rFonts w:ascii="Times New Roman" w:hAnsi="Times New Roman" w:cs="Times New Roman"/>
          <w:sz w:val="28"/>
          <w:szCs w:val="28"/>
        </w:rPr>
        <w:t>Групу супроводу Болонського процесу (</w:t>
      </w:r>
      <w:r w:rsidRPr="00F14A04">
        <w:rPr>
          <w:rFonts w:ascii="Times New Roman" w:hAnsi="Times New Roman" w:cs="Times New Roman"/>
          <w:sz w:val="28"/>
          <w:szCs w:val="28"/>
        </w:rPr>
        <w:t>BFUG</w:t>
      </w:r>
      <w:r w:rsidR="00D35CE3" w:rsidRPr="00F14A04">
        <w:rPr>
          <w:rFonts w:ascii="Times New Roman" w:hAnsi="Times New Roman" w:cs="Times New Roman"/>
          <w:sz w:val="28"/>
          <w:szCs w:val="28"/>
        </w:rPr>
        <w:t>)</w:t>
      </w:r>
      <w:r w:rsidRPr="00F14A04">
        <w:rPr>
          <w:rFonts w:ascii="Times New Roman" w:hAnsi="Times New Roman" w:cs="Times New Roman"/>
          <w:sz w:val="28"/>
          <w:szCs w:val="28"/>
        </w:rPr>
        <w:t xml:space="preserve"> запропонувати шляхи, </w:t>
      </w:r>
      <w:r w:rsidR="00D35CE3" w:rsidRPr="00F14A04">
        <w:rPr>
          <w:rFonts w:ascii="Times New Roman" w:hAnsi="Times New Roman" w:cs="Times New Roman"/>
          <w:sz w:val="28"/>
          <w:szCs w:val="28"/>
        </w:rPr>
        <w:t>при яких,</w:t>
      </w:r>
      <w:r w:rsidRPr="00F14A04">
        <w:rPr>
          <w:rFonts w:ascii="Times New Roman" w:hAnsi="Times New Roman" w:cs="Times New Roman"/>
          <w:sz w:val="28"/>
          <w:szCs w:val="28"/>
        </w:rPr>
        <w:t xml:space="preserve"> всі, хто навчається, могли</w:t>
      </w:r>
      <w:r w:rsidR="006C5C0F" w:rsidRPr="00F14A04">
        <w:rPr>
          <w:rFonts w:ascii="Times New Roman" w:hAnsi="Times New Roman" w:cs="Times New Roman"/>
          <w:sz w:val="28"/>
          <w:szCs w:val="28"/>
        </w:rPr>
        <w:t xml:space="preserve"> б</w:t>
      </w:r>
      <w:r w:rsidRPr="00F14A04">
        <w:rPr>
          <w:rFonts w:ascii="Times New Roman" w:hAnsi="Times New Roman" w:cs="Times New Roman"/>
          <w:sz w:val="28"/>
          <w:szCs w:val="28"/>
        </w:rPr>
        <w:t xml:space="preserve"> ск</w:t>
      </w:r>
      <w:r w:rsidR="00D35CE3" w:rsidRPr="00F14A04">
        <w:rPr>
          <w:rFonts w:ascii="Times New Roman" w:hAnsi="Times New Roman" w:cs="Times New Roman"/>
          <w:sz w:val="28"/>
          <w:szCs w:val="28"/>
        </w:rPr>
        <w:t>ористатися новітніми технологіями в</w:t>
      </w:r>
      <w:r w:rsidR="006C5C0F" w:rsidRPr="00F14A04">
        <w:rPr>
          <w:rFonts w:ascii="Times New Roman" w:hAnsi="Times New Roman" w:cs="Times New Roman"/>
          <w:sz w:val="28"/>
          <w:szCs w:val="28"/>
        </w:rPr>
        <w:t xml:space="preserve"> умовах соціально інклюзивної освіти</w:t>
      </w:r>
      <w:r w:rsidRPr="00F14A04">
        <w:rPr>
          <w:rFonts w:ascii="Times New Roman" w:hAnsi="Times New Roman" w:cs="Times New Roman"/>
          <w:sz w:val="28"/>
          <w:szCs w:val="28"/>
        </w:rPr>
        <w:t>.</w:t>
      </w:r>
    </w:p>
    <w:p w:rsidR="006C5C0F" w:rsidRPr="00F14A04" w:rsidRDefault="006C5C0F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приймаємо «Принципи та рекомендації щодо посилення соціального виміру вищої освіти у ЄПВО» (Додаток 2) та зобов’язуємося втілювати їх у наших системах на основі</w:t>
      </w:r>
      <w:r w:rsidR="000003AD" w:rsidRPr="00F14A04">
        <w:rPr>
          <w:rFonts w:ascii="Times New Roman" w:hAnsi="Times New Roman" w:cs="Times New Roman"/>
          <w:sz w:val="28"/>
          <w:szCs w:val="28"/>
        </w:rPr>
        <w:t xml:space="preserve"> розширеного розуміння</w:t>
      </w:r>
      <w:r w:rsidRPr="00F14A04">
        <w:rPr>
          <w:rFonts w:ascii="Times New Roman" w:hAnsi="Times New Roman" w:cs="Times New Roman"/>
          <w:sz w:val="28"/>
          <w:szCs w:val="28"/>
        </w:rPr>
        <w:t xml:space="preserve"> соціального виміру. Ми будемо брати участь у широкому політичному діалозі з питань повного запровадження принципів і рекомендацій на національному рівні. Ми будемо підтримувати наші заклади вищої осві</w:t>
      </w:r>
      <w:r w:rsidR="00EA3E6B" w:rsidRPr="00F14A04">
        <w:rPr>
          <w:rFonts w:ascii="Times New Roman" w:hAnsi="Times New Roman" w:cs="Times New Roman"/>
          <w:sz w:val="28"/>
          <w:szCs w:val="28"/>
        </w:rPr>
        <w:t>ти в інтеграції цих принципів до</w:t>
      </w:r>
      <w:r w:rsidRPr="00F14A04">
        <w:rPr>
          <w:rFonts w:ascii="Times New Roman" w:hAnsi="Times New Roman" w:cs="Times New Roman"/>
          <w:sz w:val="28"/>
          <w:szCs w:val="28"/>
        </w:rPr>
        <w:t xml:space="preserve"> інституційної культури цих закладів і ключових</w:t>
      </w:r>
      <w:r w:rsidR="000003AD" w:rsidRPr="00F14A04">
        <w:rPr>
          <w:rFonts w:ascii="Times New Roman" w:hAnsi="Times New Roman" w:cs="Times New Roman"/>
          <w:sz w:val="28"/>
          <w:szCs w:val="28"/>
        </w:rPr>
        <w:t xml:space="preserve"> місій вищої освіти: навчання і викладання, дослідження і</w:t>
      </w:r>
      <w:r w:rsidRPr="00F14A04">
        <w:rPr>
          <w:rFonts w:ascii="Times New Roman" w:hAnsi="Times New Roman" w:cs="Times New Roman"/>
          <w:sz w:val="28"/>
          <w:szCs w:val="28"/>
        </w:rPr>
        <w:t xml:space="preserve"> інновації, поширення знань і просвітницька робота, інституційне вря</w:t>
      </w:r>
      <w:r w:rsidR="000003AD" w:rsidRPr="00F14A04">
        <w:rPr>
          <w:rFonts w:ascii="Times New Roman" w:hAnsi="Times New Roman" w:cs="Times New Roman"/>
          <w:sz w:val="28"/>
          <w:szCs w:val="28"/>
        </w:rPr>
        <w:t>дування і</w:t>
      </w:r>
      <w:r w:rsidRPr="00F14A04">
        <w:rPr>
          <w:rFonts w:ascii="Times New Roman" w:hAnsi="Times New Roman" w:cs="Times New Roman"/>
          <w:sz w:val="28"/>
          <w:szCs w:val="28"/>
        </w:rPr>
        <w:t xml:space="preserve"> управління. </w:t>
      </w:r>
      <w:r w:rsidR="00BE42F9" w:rsidRPr="00F14A04">
        <w:rPr>
          <w:rFonts w:ascii="Times New Roman" w:hAnsi="Times New Roman" w:cs="Times New Roman"/>
          <w:sz w:val="28"/>
          <w:szCs w:val="28"/>
        </w:rPr>
        <w:t>Ми просимо Групу супроводу Болонського процесу (BFUG) прозвітувати нам</w:t>
      </w:r>
      <w:r w:rsidR="004B2C99" w:rsidRPr="00F14A04">
        <w:rPr>
          <w:rFonts w:ascii="Times New Roman" w:hAnsi="Times New Roman" w:cs="Times New Roman"/>
          <w:sz w:val="28"/>
          <w:szCs w:val="28"/>
        </w:rPr>
        <w:t xml:space="preserve"> у 2024 році</w:t>
      </w:r>
      <w:r w:rsidRPr="00F14A04">
        <w:rPr>
          <w:rFonts w:ascii="Times New Roman" w:hAnsi="Times New Roman" w:cs="Times New Roman"/>
          <w:sz w:val="28"/>
          <w:szCs w:val="28"/>
        </w:rPr>
        <w:t xml:space="preserve"> про вжиті конкретні кроки та відповідні моніт</w:t>
      </w:r>
      <w:r w:rsidR="00BE42F9" w:rsidRPr="00F14A04">
        <w:rPr>
          <w:rFonts w:ascii="Times New Roman" w:hAnsi="Times New Roman" w:cs="Times New Roman"/>
          <w:sz w:val="28"/>
          <w:szCs w:val="28"/>
        </w:rPr>
        <w:t>орингові заходи щодо здійснення</w:t>
      </w:r>
      <w:r w:rsidRPr="00F14A04">
        <w:rPr>
          <w:rFonts w:ascii="Times New Roman" w:hAnsi="Times New Roman" w:cs="Times New Roman"/>
          <w:sz w:val="28"/>
          <w:szCs w:val="28"/>
        </w:rPr>
        <w:t xml:space="preserve"> подальших дій, заснованих на доказових фактах.</w:t>
      </w:r>
    </w:p>
    <w:p w:rsidR="00EA3E6B" w:rsidRPr="00F14A04" w:rsidRDefault="00EA3E6B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визнаємо важливість захисту прав студентів на основі законодавства; ми зобов’язуємось розвивати і підтримувати заходи та структури національних систем, зокрема, студентських омбудсменів чи схожі рішення, що вже існують в багатьох країнах ЄПВО. Ми зобов’язуємось </w:t>
      </w:r>
      <w:r w:rsidRPr="00F14A04">
        <w:rPr>
          <w:rFonts w:ascii="Times New Roman" w:hAnsi="Times New Roman" w:cs="Times New Roman"/>
          <w:sz w:val="28"/>
          <w:szCs w:val="28"/>
        </w:rPr>
        <w:lastRenderedPageBreak/>
        <w:t>підтримувати впровадження таких підходів в наших країнах та системах вищої освіти та заохочувати їх співпрацю з Європейською мережею омбудсменів у сфері вищої освіти (ENOHE)</w:t>
      </w:r>
    </w:p>
    <w:p w:rsidR="00EA3E6B" w:rsidRPr="00F14A04" w:rsidRDefault="009B23BE" w:rsidP="009D4CBF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визнаємо важливість захисту прав студентів на основі законодавства; ми зобов’язуємось розвивати і підтримувати заходи та структури у наших національних системах, зокрема, студентських омбудсменів чи схожі рішення, що вже існують у багатьох країнах ЄПВО. Ми зобов’язуємось підтримувати впровадження таких підходів </w:t>
      </w:r>
      <w:r w:rsidR="009D4CBF">
        <w:rPr>
          <w:rFonts w:ascii="Times New Roman" w:hAnsi="Times New Roman" w:cs="Times New Roman"/>
          <w:sz w:val="28"/>
          <w:szCs w:val="28"/>
        </w:rPr>
        <w:t>у</w:t>
      </w:r>
      <w:r w:rsidRPr="00F14A04">
        <w:rPr>
          <w:rFonts w:ascii="Times New Roman" w:hAnsi="Times New Roman" w:cs="Times New Roman"/>
          <w:sz w:val="28"/>
          <w:szCs w:val="28"/>
        </w:rPr>
        <w:t xml:space="preserve"> наших країнах і системах вищої освіти та заохочувати їх співпрацю з Європейською мережею омбудсменів у сфері вищої освіти (ENOHE)</w:t>
      </w:r>
    </w:p>
    <w:p w:rsidR="009B23BE" w:rsidRPr="00F14A04" w:rsidRDefault="00D33B8E" w:rsidP="009D4CBF">
      <w:pPr>
        <w:spacing w:after="6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- </w:t>
      </w:r>
      <w:r w:rsidR="009B23BE" w:rsidRPr="00F14A04">
        <w:rPr>
          <w:rFonts w:ascii="Times New Roman" w:hAnsi="Times New Roman" w:cs="Times New Roman"/>
          <w:b/>
          <w:sz w:val="28"/>
          <w:szCs w:val="28"/>
        </w:rPr>
        <w:t>Інноваційний ЄПВО</w:t>
      </w:r>
    </w:p>
    <w:p w:rsidR="009B23BE" w:rsidRPr="00F14A04" w:rsidRDefault="009B23B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підтримуємо наші закла</w:t>
      </w:r>
      <w:r w:rsidR="009D4861" w:rsidRPr="00F14A04">
        <w:rPr>
          <w:rFonts w:ascii="Times New Roman" w:hAnsi="Times New Roman" w:cs="Times New Roman"/>
          <w:sz w:val="28"/>
          <w:szCs w:val="28"/>
        </w:rPr>
        <w:t>ди вищої освіти в</w:t>
      </w:r>
      <w:r w:rsidRPr="00F14A04">
        <w:rPr>
          <w:rFonts w:ascii="Times New Roman" w:hAnsi="Times New Roman" w:cs="Times New Roman"/>
          <w:sz w:val="28"/>
          <w:szCs w:val="28"/>
        </w:rPr>
        <w:t xml:space="preserve"> пошуку рішень у відповідь на виклики суспільства. Соціальні, гуманітарні та креативні науки </w:t>
      </w:r>
      <w:r w:rsidR="009D4861" w:rsidRPr="00F14A04">
        <w:rPr>
          <w:rFonts w:ascii="Times New Roman" w:hAnsi="Times New Roman" w:cs="Times New Roman"/>
          <w:sz w:val="28"/>
          <w:szCs w:val="28"/>
        </w:rPr>
        <w:t xml:space="preserve">і мистецтво, повинні відігравати </w:t>
      </w:r>
      <w:r w:rsidRPr="00F14A04">
        <w:rPr>
          <w:rFonts w:ascii="Times New Roman" w:hAnsi="Times New Roman" w:cs="Times New Roman"/>
          <w:sz w:val="28"/>
          <w:szCs w:val="28"/>
        </w:rPr>
        <w:t>важливу ро</w:t>
      </w:r>
      <w:r w:rsidR="009D4861" w:rsidRPr="00F14A04">
        <w:rPr>
          <w:rFonts w:ascii="Times New Roman" w:hAnsi="Times New Roman" w:cs="Times New Roman"/>
          <w:sz w:val="28"/>
          <w:szCs w:val="28"/>
        </w:rPr>
        <w:t xml:space="preserve">ль, поглиблюючи наші життя і </w:t>
      </w:r>
      <w:r w:rsidRPr="00F14A04">
        <w:rPr>
          <w:rFonts w:ascii="Times New Roman" w:hAnsi="Times New Roman" w:cs="Times New Roman"/>
          <w:sz w:val="28"/>
          <w:szCs w:val="28"/>
        </w:rPr>
        <w:t>даючи розуміння</w:t>
      </w:r>
      <w:r w:rsidR="009D4861" w:rsidRPr="00F14A04">
        <w:rPr>
          <w:rFonts w:ascii="Times New Roman" w:hAnsi="Times New Roman" w:cs="Times New Roman"/>
          <w:sz w:val="28"/>
          <w:szCs w:val="28"/>
        </w:rPr>
        <w:t>,</w:t>
      </w:r>
      <w:r w:rsidRPr="00F14A04">
        <w:rPr>
          <w:rFonts w:ascii="Times New Roman" w:hAnsi="Times New Roman" w:cs="Times New Roman"/>
          <w:sz w:val="28"/>
          <w:szCs w:val="28"/>
        </w:rPr>
        <w:t xml:space="preserve"> як діяти у світі, що </w:t>
      </w:r>
      <w:r w:rsidR="009D4861" w:rsidRPr="00F14A04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Pr="00F14A04">
        <w:rPr>
          <w:rFonts w:ascii="Times New Roman" w:hAnsi="Times New Roman" w:cs="Times New Roman"/>
          <w:sz w:val="28"/>
          <w:szCs w:val="28"/>
        </w:rPr>
        <w:t>змінюється. Наші заклади вищої освіти повинні об’єднуватись зі своїми спільнотами задля взаємовигідної та соціально відповідальної спільної діяльності.</w:t>
      </w:r>
    </w:p>
    <w:p w:rsidR="009D4861" w:rsidRPr="00F14A04" w:rsidRDefault="002F47C7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Відповідь на виклики і розвиток можливостей, що принесе нове десятиріччя, вимагатиме швидкого оновлення знань, навичок і компетенцій. Закладам вищої освіти </w:t>
      </w:r>
      <w:r w:rsidR="00286E1B" w:rsidRPr="00F14A04">
        <w:rPr>
          <w:rFonts w:ascii="Times New Roman" w:hAnsi="Times New Roman" w:cs="Times New Roman"/>
          <w:sz w:val="28"/>
          <w:szCs w:val="28"/>
        </w:rPr>
        <w:t xml:space="preserve">потрібно </w:t>
      </w:r>
      <w:r w:rsidRPr="00F14A04">
        <w:rPr>
          <w:rFonts w:ascii="Times New Roman" w:hAnsi="Times New Roman" w:cs="Times New Roman"/>
          <w:sz w:val="28"/>
          <w:szCs w:val="28"/>
        </w:rPr>
        <w:t>буде диверсифікувати своє н</w:t>
      </w:r>
      <w:r w:rsidR="00286E1B" w:rsidRPr="00F14A04">
        <w:rPr>
          <w:rFonts w:ascii="Times New Roman" w:hAnsi="Times New Roman" w:cs="Times New Roman"/>
          <w:sz w:val="28"/>
          <w:szCs w:val="28"/>
        </w:rPr>
        <w:t>авчання</w:t>
      </w:r>
      <w:r w:rsidRPr="00F14A04">
        <w:rPr>
          <w:rFonts w:ascii="Times New Roman" w:hAnsi="Times New Roman" w:cs="Times New Roman"/>
          <w:sz w:val="28"/>
          <w:szCs w:val="28"/>
        </w:rPr>
        <w:t>, пропонувати та впроваджувати інновац</w:t>
      </w:r>
      <w:r w:rsidR="00286E1B" w:rsidRPr="00F14A04">
        <w:rPr>
          <w:rFonts w:ascii="Times New Roman" w:hAnsi="Times New Roman" w:cs="Times New Roman"/>
          <w:sz w:val="28"/>
          <w:szCs w:val="28"/>
        </w:rPr>
        <w:t>ії у змісті та методах, формах і технологіях його реалізації</w:t>
      </w:r>
      <w:r w:rsidRPr="00F14A04">
        <w:rPr>
          <w:rFonts w:ascii="Times New Roman" w:hAnsi="Times New Roman" w:cs="Times New Roman"/>
          <w:sz w:val="28"/>
          <w:szCs w:val="28"/>
        </w:rPr>
        <w:t xml:space="preserve"> у відповідь на з</w:t>
      </w:r>
      <w:r w:rsidR="00286E1B" w:rsidRPr="00F14A04">
        <w:rPr>
          <w:rFonts w:ascii="Times New Roman" w:hAnsi="Times New Roman" w:cs="Times New Roman"/>
          <w:sz w:val="28"/>
          <w:szCs w:val="28"/>
        </w:rPr>
        <w:t xml:space="preserve">ростаючі потреби </w:t>
      </w:r>
      <w:r w:rsidR="009D4CBF">
        <w:rPr>
          <w:rFonts w:ascii="Times New Roman" w:hAnsi="Times New Roman" w:cs="Times New Roman"/>
          <w:sz w:val="28"/>
          <w:szCs w:val="28"/>
        </w:rPr>
        <w:t>в</w:t>
      </w:r>
      <w:r w:rsidR="00286E1B" w:rsidRPr="00F14A04">
        <w:rPr>
          <w:rFonts w:ascii="Times New Roman" w:hAnsi="Times New Roman" w:cs="Times New Roman"/>
          <w:sz w:val="28"/>
          <w:szCs w:val="28"/>
        </w:rPr>
        <w:t xml:space="preserve"> інноваціях і</w:t>
      </w:r>
      <w:r w:rsidRPr="00F14A04">
        <w:rPr>
          <w:rFonts w:ascii="Times New Roman" w:hAnsi="Times New Roman" w:cs="Times New Roman"/>
          <w:sz w:val="28"/>
          <w:szCs w:val="28"/>
        </w:rPr>
        <w:t xml:space="preserve"> критичному мисленні, емоційному інтелекті, лідерстві, ком</w:t>
      </w:r>
      <w:r w:rsidR="00286E1B" w:rsidRPr="00F14A04">
        <w:rPr>
          <w:rFonts w:ascii="Times New Roman" w:hAnsi="Times New Roman" w:cs="Times New Roman"/>
          <w:sz w:val="28"/>
          <w:szCs w:val="28"/>
        </w:rPr>
        <w:t>андній роботі, здатності вирішувати проблеми, а також розвитку</w:t>
      </w:r>
      <w:r w:rsidR="00251C08" w:rsidRPr="00F14A04">
        <w:rPr>
          <w:rFonts w:ascii="Times New Roman" w:hAnsi="Times New Roman" w:cs="Times New Roman"/>
          <w:sz w:val="28"/>
          <w:szCs w:val="28"/>
        </w:rPr>
        <w:t xml:space="preserve"> навичок підприємництва.</w:t>
      </w:r>
    </w:p>
    <w:p w:rsidR="00251C08" w:rsidRPr="00F14A04" w:rsidRDefault="00251C08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Гнучкість і відкритість траєкторій навчання, які є частиною початкового натхнення для Болонського процесу, є важливими аспектами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навчання і користуються все більшим попитом у наших суспільствах. На додаток до</w:t>
      </w:r>
      <w:r w:rsidR="00D81053" w:rsidRPr="00F14A04">
        <w:rPr>
          <w:rFonts w:ascii="Times New Roman" w:hAnsi="Times New Roman" w:cs="Times New Roman"/>
          <w:sz w:val="28"/>
          <w:szCs w:val="28"/>
        </w:rPr>
        <w:t xml:space="preserve"> повних</w:t>
      </w:r>
      <w:r w:rsidRPr="00F14A04">
        <w:rPr>
          <w:rFonts w:ascii="Times New Roman" w:hAnsi="Times New Roman" w:cs="Times New Roman"/>
          <w:sz w:val="28"/>
          <w:szCs w:val="28"/>
        </w:rPr>
        <w:t xml:space="preserve"> програм, що ведуть до отримання ступеню, заклади вищої освіти можуть за бажанням запроваджувати або поглиблювати свої існуючі пропозиції щодо менших складових/компонентів навчання, які будуть потрібні людям, щоб доповнити або оновити свої культурні, професійні та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трансв</w:t>
      </w:r>
      <w:r w:rsidR="00D81053" w:rsidRPr="00F14A04">
        <w:rPr>
          <w:rFonts w:ascii="Times New Roman" w:hAnsi="Times New Roman" w:cs="Times New Roman"/>
          <w:sz w:val="28"/>
          <w:szCs w:val="28"/>
        </w:rPr>
        <w:t>ерсальні</w:t>
      </w:r>
      <w:proofErr w:type="spellEnd"/>
      <w:r w:rsidR="00D81053" w:rsidRPr="00F14A04">
        <w:rPr>
          <w:rFonts w:ascii="Times New Roman" w:hAnsi="Times New Roman" w:cs="Times New Roman"/>
          <w:sz w:val="28"/>
          <w:szCs w:val="28"/>
        </w:rPr>
        <w:t>/</w:t>
      </w:r>
      <w:r w:rsidR="00B12ECB" w:rsidRPr="00F14A04">
        <w:rPr>
          <w:rFonts w:ascii="Times New Roman" w:hAnsi="Times New Roman" w:cs="Times New Roman"/>
          <w:sz w:val="28"/>
          <w:szCs w:val="28"/>
        </w:rPr>
        <w:t>переносні/</w:t>
      </w:r>
      <w:r w:rsidR="00D81053" w:rsidRPr="00F14A04">
        <w:rPr>
          <w:rFonts w:ascii="Times New Roman" w:hAnsi="Times New Roman" w:cs="Times New Roman"/>
          <w:sz w:val="28"/>
          <w:szCs w:val="28"/>
        </w:rPr>
        <w:t>загальні компетенції</w:t>
      </w:r>
      <w:r w:rsidRPr="00F14A04">
        <w:rPr>
          <w:rFonts w:ascii="Times New Roman" w:hAnsi="Times New Roman" w:cs="Times New Roman"/>
          <w:sz w:val="28"/>
          <w:szCs w:val="28"/>
        </w:rPr>
        <w:t xml:space="preserve"> на різних етапах свого життя. Ми просимо </w:t>
      </w:r>
      <w:r w:rsidR="00D81053" w:rsidRPr="00F14A04">
        <w:rPr>
          <w:rFonts w:ascii="Times New Roman" w:hAnsi="Times New Roman" w:cs="Times New Roman"/>
          <w:sz w:val="28"/>
          <w:szCs w:val="28"/>
        </w:rPr>
        <w:t>Групу супроводу Болонського процесу (</w:t>
      </w:r>
      <w:r w:rsidRPr="00F14A04">
        <w:rPr>
          <w:rFonts w:ascii="Times New Roman" w:hAnsi="Times New Roman" w:cs="Times New Roman"/>
          <w:sz w:val="28"/>
          <w:szCs w:val="28"/>
        </w:rPr>
        <w:t>BFUG</w:t>
      </w:r>
      <w:r w:rsidR="00D81053" w:rsidRPr="00F14A04">
        <w:rPr>
          <w:rFonts w:ascii="Times New Roman" w:hAnsi="Times New Roman" w:cs="Times New Roman"/>
          <w:sz w:val="28"/>
          <w:szCs w:val="28"/>
        </w:rPr>
        <w:t>)</w:t>
      </w:r>
      <w:r w:rsidRPr="00F14A04">
        <w:rPr>
          <w:rFonts w:ascii="Times New Roman" w:hAnsi="Times New Roman" w:cs="Times New Roman"/>
          <w:sz w:val="28"/>
          <w:szCs w:val="28"/>
        </w:rPr>
        <w:t xml:space="preserve"> дослідити, як і в якій мірі ці менші, гнучкі складові/компоненти, включаючи мікрокредитування, можуть визначатися, розроблятися і запроваджуватися нашими закладами, використовуючи існуючі інструменти ЄПВО.</w:t>
      </w:r>
    </w:p>
    <w:p w:rsidR="00D81053" w:rsidRPr="00F14A04" w:rsidRDefault="00D81053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приймаємо «Рекомендації для національної/урядової підтримки/дії для покращення навчання і викладання у вищій освіті в ЄПВО» (Додаток 3), </w:t>
      </w:r>
      <w:r w:rsidRPr="00F14A04">
        <w:rPr>
          <w:rFonts w:ascii="Times New Roman" w:hAnsi="Times New Roman" w:cs="Times New Roman"/>
          <w:sz w:val="28"/>
          <w:szCs w:val="28"/>
        </w:rPr>
        <w:lastRenderedPageBreak/>
        <w:t xml:space="preserve">зобов’язуємось слідувати їм, підтримувати заклади вищої освіти у постійному розвитку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навчання й викладання. Рекомендації включають посилену підтримку для всіх, хто навчається, а також для викладацького і невикладацького персоналу. Академічні працівники, включаючи молодший академічний персонал, потребують можливостей щодо стабільного працевлаштування і кар’єрного розвитку, паритету поваги до викладання і досліджень, привабливих умов роботи, доступу до сучасного підвищення кваліфікації та визнання їх досягнень. У всіх цих відношеннях ми сприятимемо діалогу і співпраці щодо навчання й викладання у наших національних системах і на рівні ЄПВО.</w:t>
      </w:r>
    </w:p>
    <w:p w:rsidR="0039117E" w:rsidRPr="00F14A04" w:rsidRDefault="0039117E" w:rsidP="009D4CBF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зобов’язуємося підтримувати наші заклади вищої освіти у використанні цифрових технологій для навчання, викладання й оцінювання, а також для академічної комунікації та досліджень, та інвестувати у розвиток цифрових навичок і компетенцій для всіх. Ми зобов’язуємося підтримувати розвиток матеріалів з відкритої науки та освіти, для обміну знаннями та ресурсами з відкритою ліцензією, що можна легко поширювати серед і</w:t>
      </w:r>
      <w:r w:rsidR="009D4CBF">
        <w:rPr>
          <w:rFonts w:ascii="Times New Roman" w:hAnsi="Times New Roman" w:cs="Times New Roman"/>
          <w:sz w:val="28"/>
          <w:szCs w:val="28"/>
        </w:rPr>
        <w:t>нших зацікавлених сторін (</w:t>
      </w:r>
      <w:proofErr w:type="spellStart"/>
      <w:r w:rsidR="009D4CBF">
        <w:rPr>
          <w:rFonts w:ascii="Times New Roman" w:hAnsi="Times New Roman" w:cs="Times New Roman"/>
          <w:sz w:val="28"/>
          <w:szCs w:val="28"/>
        </w:rPr>
        <w:t>стейкх</w:t>
      </w:r>
      <w:r w:rsidRPr="00F14A04">
        <w:rPr>
          <w:rFonts w:ascii="Times New Roman" w:hAnsi="Times New Roman" w:cs="Times New Roman"/>
          <w:sz w:val="28"/>
          <w:szCs w:val="28"/>
        </w:rPr>
        <w:t>олдерів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>) вищої освіти, які можуть адаптувати їх і використовувати для власних потреб.</w:t>
      </w:r>
    </w:p>
    <w:p w:rsidR="0039117E" w:rsidRPr="00F14A04" w:rsidRDefault="00D33B8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- </w:t>
      </w:r>
      <w:r w:rsidR="0039117E" w:rsidRPr="00F14A04">
        <w:rPr>
          <w:rFonts w:ascii="Times New Roman" w:hAnsi="Times New Roman" w:cs="Times New Roman"/>
          <w:b/>
          <w:sz w:val="28"/>
          <w:szCs w:val="28"/>
        </w:rPr>
        <w:t>Взаємопов’язаний ЄПВО</w:t>
      </w:r>
    </w:p>
    <w:p w:rsidR="0039117E" w:rsidRPr="00F14A04" w:rsidRDefault="00CB0D09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Співпраця і</w:t>
      </w:r>
      <w:r w:rsidR="0039117E" w:rsidRPr="00F14A04">
        <w:rPr>
          <w:rFonts w:ascii="Times New Roman" w:hAnsi="Times New Roman" w:cs="Times New Roman"/>
          <w:sz w:val="28"/>
          <w:szCs w:val="28"/>
        </w:rPr>
        <w:t xml:space="preserve"> мобільність поєднують наші системи та плекають розвиток міжкультурних і лінгвістичних компетенцій, широке</w:t>
      </w:r>
      <w:r w:rsidRPr="00F14A04">
        <w:rPr>
          <w:rFonts w:ascii="Times New Roman" w:hAnsi="Times New Roman" w:cs="Times New Roman"/>
          <w:sz w:val="28"/>
          <w:szCs w:val="28"/>
        </w:rPr>
        <w:t xml:space="preserve"> знання і</w:t>
      </w:r>
      <w:r w:rsidR="0039117E" w:rsidRPr="00F14A04">
        <w:rPr>
          <w:rFonts w:ascii="Times New Roman" w:hAnsi="Times New Roman" w:cs="Times New Roman"/>
          <w:sz w:val="28"/>
          <w:szCs w:val="28"/>
        </w:rPr>
        <w:t xml:space="preserve"> розуміння нашого св</w:t>
      </w:r>
      <w:r w:rsidRPr="00F14A04">
        <w:rPr>
          <w:rFonts w:ascii="Times New Roman" w:hAnsi="Times New Roman" w:cs="Times New Roman"/>
          <w:sz w:val="28"/>
          <w:szCs w:val="28"/>
        </w:rPr>
        <w:t>іту. Створюючи прямі контакти і</w:t>
      </w:r>
      <w:r w:rsidR="0039117E" w:rsidRPr="00F14A04">
        <w:rPr>
          <w:rFonts w:ascii="Times New Roman" w:hAnsi="Times New Roman" w:cs="Times New Roman"/>
          <w:sz w:val="28"/>
          <w:szCs w:val="28"/>
        </w:rPr>
        <w:t xml:space="preserve"> синергію між нашими різноманітними культурами і системами вищої освіти, мобільність працівників і студентів сприяє досконалості та актуальності вищої освіти у</w:t>
      </w:r>
      <w:r w:rsidRPr="00F14A04">
        <w:rPr>
          <w:rFonts w:ascii="Times New Roman" w:hAnsi="Times New Roman" w:cs="Times New Roman"/>
          <w:sz w:val="28"/>
          <w:szCs w:val="28"/>
        </w:rPr>
        <w:t xml:space="preserve"> ЄПВО, роблячи її привабливою і</w:t>
      </w:r>
      <w:r w:rsidR="0039117E" w:rsidRPr="00F14A04">
        <w:rPr>
          <w:rFonts w:ascii="Times New Roman" w:hAnsi="Times New Roman" w:cs="Times New Roman"/>
          <w:sz w:val="28"/>
          <w:szCs w:val="28"/>
        </w:rPr>
        <w:t xml:space="preserve"> конкурентною у глобальному масштабі. Ми визнаємо важливість і переваги фізичної мобільності для студентів, аспірантів і працівників. Незважаючи на поточні складнощі, пов’язані з пандемією, ми знову підтверджуємо нашу ціль, що принаймні 20 % випускників у ЄПВО повинні пройти навчання або стажування за кордоном, і надалі зобов’язуємося створювати можливості для всіх, хто навчається, набути міжнародних</w:t>
      </w:r>
      <w:r w:rsidRPr="00F14A04">
        <w:rPr>
          <w:rFonts w:ascii="Times New Roman" w:hAnsi="Times New Roman" w:cs="Times New Roman"/>
          <w:sz w:val="28"/>
          <w:szCs w:val="28"/>
        </w:rPr>
        <w:t xml:space="preserve"> і міжкультурних компетенцій</w:t>
      </w:r>
      <w:r w:rsidR="0039117E" w:rsidRPr="00F14A04">
        <w:rPr>
          <w:rFonts w:ascii="Times New Roman" w:hAnsi="Times New Roman" w:cs="Times New Roman"/>
          <w:sz w:val="28"/>
          <w:szCs w:val="28"/>
        </w:rPr>
        <w:t xml:space="preserve"> шляхом інтернаціоналізації освітніх програм та взяти участь в інноваційних міжнародних середовищах у своїх закладах, отримати досвід певної форми мобільності, використовуючи фізичний, покращений цифровими засобами (віртуальний) або змішаний формати.</w:t>
      </w:r>
    </w:p>
    <w:p w:rsidR="00E71CC2" w:rsidRPr="00F14A04" w:rsidRDefault="00E71CC2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Цифрові рішення допоможуть забезпечити безпечний, ефективний і прозорий обмін даними. Необхідні спільні цифрові підходи до кращого визнання, забезпечення якості і мобільності. Ми просимо Групу супроводу Болонського процесу (BFUG) створити карту існуючих рішень і віднайти нові рішення для посилення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інтероперабельності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цифрових систем та обміну </w:t>
      </w:r>
      <w:r w:rsidRPr="00F14A04">
        <w:rPr>
          <w:rFonts w:ascii="Times New Roman" w:hAnsi="Times New Roman" w:cs="Times New Roman"/>
          <w:sz w:val="28"/>
          <w:szCs w:val="28"/>
        </w:rPr>
        <w:lastRenderedPageBreak/>
        <w:t>даними студентів і закладів за умов повної поваги до вимог конфіденційності й безпеки, враховуючи досвід Європейської ініціативи щодо студентських карток та інших ініціатив.</w:t>
      </w:r>
    </w:p>
    <w:p w:rsidR="00ED4DC3" w:rsidRPr="00F14A04" w:rsidRDefault="00ED4DC3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Поглиблена співпраця між закладами вищої освіти допоможе досягнути вищезазначені цілі шляхом спільного інноваційного викладання і досліджень. Ми намагатимемося усунути перешкоди до співпраці на національних рівнях і надати можливість усім закладам у ЄПВО скористатися нею. Альянси, сформовані у рамках Ініціативи європейських університетів, являють собою один із важливих шляхів перевірки більш глибокої і повномасштабної співпраці, а також виявлення перешкод до транснаціональної співпраці між закладами вищої освіти в майбутньому.</w:t>
      </w:r>
    </w:p>
    <w:p w:rsidR="00ED4DC3" w:rsidRPr="00F14A04" w:rsidRDefault="00ED4DC3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Імплементація</w:t>
      </w:r>
    </w:p>
    <w:p w:rsidR="00ED4DC3" w:rsidRPr="00F14A04" w:rsidRDefault="00ED4DC3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беремо до відома результати, описані у Звіті із запровадження Болонського процесу</w:t>
      </w:r>
      <w:r w:rsidR="00923F21" w:rsidRPr="00F14A04">
        <w:rPr>
          <w:rFonts w:ascii="Times New Roman" w:hAnsi="Times New Roman" w:cs="Times New Roman"/>
          <w:sz w:val="28"/>
          <w:szCs w:val="28"/>
        </w:rPr>
        <w:t xml:space="preserve"> (BPIR)</w:t>
      </w:r>
      <w:r w:rsidRPr="00F14A04">
        <w:rPr>
          <w:rFonts w:ascii="Times New Roman" w:hAnsi="Times New Roman" w:cs="Times New Roman"/>
          <w:sz w:val="28"/>
          <w:szCs w:val="28"/>
        </w:rPr>
        <w:t xml:space="preserve"> щодо досягнутого прогресу за останні два десятиліття. Досягнення вражають. Тим не менше для цього потрібно більше працювати</w:t>
      </w:r>
      <w:r w:rsidR="00923F21" w:rsidRPr="00F14A04">
        <w:rPr>
          <w:rFonts w:ascii="Times New Roman" w:hAnsi="Times New Roman" w:cs="Times New Roman"/>
          <w:sz w:val="28"/>
          <w:szCs w:val="28"/>
        </w:rPr>
        <w:t xml:space="preserve">. </w:t>
      </w:r>
      <w:r w:rsidRPr="00F14A04">
        <w:rPr>
          <w:rFonts w:ascii="Times New Roman" w:hAnsi="Times New Roman" w:cs="Times New Roman"/>
          <w:sz w:val="28"/>
          <w:szCs w:val="28"/>
        </w:rPr>
        <w:t>ЄПВО побудовано на міцних засадах, здат</w:t>
      </w:r>
      <w:r w:rsidR="00923F21" w:rsidRPr="00F14A04">
        <w:rPr>
          <w:rFonts w:ascii="Times New Roman" w:hAnsi="Times New Roman" w:cs="Times New Roman"/>
          <w:sz w:val="28"/>
          <w:szCs w:val="28"/>
        </w:rPr>
        <w:t>них підтримувати взаємопов’язану</w:t>
      </w:r>
      <w:r w:rsidRPr="00F14A04">
        <w:rPr>
          <w:rFonts w:ascii="Times New Roman" w:hAnsi="Times New Roman" w:cs="Times New Roman"/>
          <w:sz w:val="28"/>
          <w:szCs w:val="28"/>
        </w:rPr>
        <w:t>,</w:t>
      </w:r>
      <w:r w:rsidR="00923F21" w:rsidRPr="00F14A04">
        <w:rPr>
          <w:rFonts w:ascii="Times New Roman" w:hAnsi="Times New Roman" w:cs="Times New Roman"/>
          <w:sz w:val="28"/>
          <w:szCs w:val="28"/>
        </w:rPr>
        <w:t xml:space="preserve"> інноваційну та інклюзивну вищу освіту в </w:t>
      </w:r>
      <w:r w:rsidRPr="00F14A04">
        <w:rPr>
          <w:rFonts w:ascii="Times New Roman" w:hAnsi="Times New Roman" w:cs="Times New Roman"/>
          <w:sz w:val="28"/>
          <w:szCs w:val="28"/>
        </w:rPr>
        <w:t>найближче десятиліття.</w:t>
      </w:r>
    </w:p>
    <w:p w:rsidR="00923F21" w:rsidRPr="00F14A04" w:rsidRDefault="00923F21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розраховуємо на постійну підтримку Програми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та інших програм мобільності та спі</w:t>
      </w:r>
      <w:r w:rsidR="003866D1" w:rsidRPr="00F14A04">
        <w:rPr>
          <w:rFonts w:ascii="Times New Roman" w:hAnsi="Times New Roman" w:cs="Times New Roman"/>
          <w:sz w:val="28"/>
          <w:szCs w:val="28"/>
        </w:rPr>
        <w:t xml:space="preserve">впраці, </w:t>
      </w:r>
      <w:r w:rsidRPr="00F14A04">
        <w:rPr>
          <w:rFonts w:ascii="Times New Roman" w:hAnsi="Times New Roman" w:cs="Times New Roman"/>
          <w:sz w:val="28"/>
          <w:szCs w:val="28"/>
        </w:rPr>
        <w:t>щоб підтримати наші зобов'язання</w:t>
      </w:r>
      <w:r w:rsidR="003866D1" w:rsidRPr="00F14A04">
        <w:rPr>
          <w:rFonts w:ascii="Times New Roman" w:hAnsi="Times New Roman" w:cs="Times New Roman"/>
          <w:sz w:val="28"/>
          <w:szCs w:val="28"/>
        </w:rPr>
        <w:t>.</w:t>
      </w:r>
    </w:p>
    <w:p w:rsidR="003866D1" w:rsidRPr="00F14A04" w:rsidRDefault="003866D1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На Паризькій міністерській конференції 2018 року ми вирішили приділити особливі зусилля для завершення запровадження трьох "Ключових зобов'язань", необхідних для функціонування ЄПВО: Рамки кваліфікації і</w:t>
      </w:r>
      <w:r w:rsidR="00661D7C" w:rsidRPr="00F14A04">
        <w:rPr>
          <w:rFonts w:ascii="Times New Roman" w:hAnsi="Times New Roman" w:cs="Times New Roman"/>
          <w:sz w:val="28"/>
          <w:szCs w:val="28"/>
        </w:rPr>
        <w:t xml:space="preserve"> ЄКТС</w:t>
      </w:r>
      <w:r w:rsidRPr="00F14A04">
        <w:rPr>
          <w:rFonts w:ascii="Times New Roman" w:hAnsi="Times New Roman" w:cs="Times New Roman"/>
          <w:sz w:val="28"/>
          <w:szCs w:val="28"/>
        </w:rPr>
        <w:t>, Лісабонська конвенція із визнання і Додаток до диплома, а також Заб</w:t>
      </w:r>
      <w:r w:rsidR="00661D7C" w:rsidRPr="00F14A04">
        <w:rPr>
          <w:rFonts w:ascii="Times New Roman" w:hAnsi="Times New Roman" w:cs="Times New Roman"/>
          <w:sz w:val="28"/>
          <w:szCs w:val="28"/>
        </w:rPr>
        <w:t>езпечення якості відповідно до С</w:t>
      </w:r>
      <w:r w:rsidRPr="00F14A04">
        <w:rPr>
          <w:rFonts w:ascii="Times New Roman" w:hAnsi="Times New Roman" w:cs="Times New Roman"/>
          <w:sz w:val="28"/>
          <w:szCs w:val="28"/>
        </w:rPr>
        <w:t>тандартів та рекомендацій із</w:t>
      </w:r>
      <w:r w:rsidR="00661D7C" w:rsidRPr="00F14A04">
        <w:rPr>
          <w:rFonts w:ascii="Times New Roman" w:hAnsi="Times New Roman" w:cs="Times New Roman"/>
          <w:sz w:val="28"/>
          <w:szCs w:val="28"/>
        </w:rPr>
        <w:t xml:space="preserve"> забезпечення якості в</w:t>
      </w:r>
      <w:r w:rsidRPr="00F14A04">
        <w:rPr>
          <w:rFonts w:ascii="Times New Roman" w:hAnsi="Times New Roman" w:cs="Times New Roman"/>
          <w:sz w:val="28"/>
          <w:szCs w:val="28"/>
        </w:rPr>
        <w:t xml:space="preserve"> Європейському просторі вищої освіти (ESG).</w:t>
      </w:r>
    </w:p>
    <w:p w:rsidR="00661D7C" w:rsidRPr="00F14A04" w:rsidRDefault="00661D7C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знову підтверджуємо зобов’язання щодо повної імплементації Ключових зобов'язань. Ми просимо Групу супроводу Болонського процесу (BFUG) продовжувати застосування методу колегіальної підтримки «рівний-рівному», щоб цього досягнути. Ми беремо на себе обов’язок постійної підтримки та участі наших країн у цих зусиллях.</w:t>
      </w:r>
    </w:p>
    <w:p w:rsidR="009F3E2C" w:rsidRPr="00F14A04" w:rsidRDefault="004D423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зобов’язуємося завершити та розвивати надалі Національні рамки кваліфікацій, сумісні із Загальною рамкою кваліфікацій Європейського простору вищої освіти (QF-EHEA) та просимо Групу супроводу Болонського процесу (BFUG) оновити критерії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самосертифікації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, і включити до них більш </w:t>
      </w:r>
      <w:r w:rsidR="00EE7490" w:rsidRPr="00F14A04">
        <w:rPr>
          <w:rFonts w:ascii="Times New Roman" w:hAnsi="Times New Roman" w:cs="Times New Roman"/>
          <w:sz w:val="28"/>
          <w:szCs w:val="28"/>
        </w:rPr>
        <w:t>дієвий</w:t>
      </w:r>
      <w:r w:rsidRPr="00F14A04">
        <w:rPr>
          <w:rFonts w:ascii="Times New Roman" w:hAnsi="Times New Roman" w:cs="Times New Roman"/>
          <w:sz w:val="28"/>
          <w:szCs w:val="28"/>
        </w:rPr>
        <w:t xml:space="preserve"> елемент колегіального оцінювання національних звітів. Ми надаємо мандат Мережі кореспондентів Рамки кваліфікацій продовжувати свою роботу в наступному робочому періоді, сприяючи подальшому розвитку QF-</w:t>
      </w:r>
      <w:r w:rsidRPr="00F14A04">
        <w:rPr>
          <w:rFonts w:ascii="Times New Roman" w:hAnsi="Times New Roman" w:cs="Times New Roman"/>
          <w:sz w:val="28"/>
          <w:szCs w:val="28"/>
        </w:rPr>
        <w:lastRenderedPageBreak/>
        <w:t xml:space="preserve">EHEA та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самосертифікації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національних рамок кваліфікацій відповідно до неї.</w:t>
      </w:r>
    </w:p>
    <w:p w:rsidR="00B74B89" w:rsidRPr="00F14A04" w:rsidRDefault="00B74B89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посилимо наші зусилля, щоб впроваджувати принципи Лісабонської конвенції із визнання Ради Європи/ЮНЕСКО, включаючи кваліфікації і періоди навчання поза межами ЄПВО, використовуючи загальні критерії оцінювання та звіти, у співпраці з Комітетом з питань Лісабонської конвенції із визнання, Європейською мережею національних інформаційних центрів із академічного визнання і мобільності (ENIC) та Мережею національних інформаційних центрів із академічного визнання і мобільності (NARIC).</w:t>
      </w:r>
    </w:p>
    <w:p w:rsidR="00A318FE" w:rsidRPr="00F14A04" w:rsidRDefault="00A318F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забезпечимо автоматичне визнання академічних кваліфікацій та періодів навчання в ЄПВО, щоб студенти, співробітники і випускники могли вільно пересуватися для навчання, викладання і проведення досліджень. Ми будемо вносити необхідні законодавчі зміни, щоб гарантувати автоматичне визнання на рівні систем і кваліфікацій у країнах ЄПВО, де забезпечення якості здійснюється відповідно до Стандартів та рекомендацій із забезпечення якості в Європейському просторі вищої освіти (ESG) та на основі національної рамки кваліфікацій. Ми заохочуємо застосування узгоджених і безпечних систем цифрової сертифікації та комунікації, в тому числі </w:t>
      </w:r>
      <w:proofErr w:type="spellStart"/>
      <w:r w:rsidRPr="00F14A0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F14A04">
        <w:rPr>
          <w:rFonts w:ascii="Times New Roman" w:hAnsi="Times New Roman" w:cs="Times New Roman"/>
          <w:sz w:val="28"/>
          <w:szCs w:val="28"/>
        </w:rPr>
        <w:t xml:space="preserve"> та подальший розвиток Бази даних результатів зовнішнього забезпечення якості (DEQAR), з метою полегшення автоматичного визнання.</w:t>
      </w:r>
    </w:p>
    <w:p w:rsidR="00A318FE" w:rsidRPr="00F14A04" w:rsidRDefault="00A318F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зобов’язуємося переглянути своє власне законодавство, нормативні вимоги та практики для забезпечення чесного визнання кваліфікацій, які мають біженці, переміщені особи та о</w:t>
      </w:r>
      <w:r w:rsidR="005D6F4C" w:rsidRPr="00F14A04">
        <w:rPr>
          <w:rFonts w:ascii="Times New Roman" w:hAnsi="Times New Roman" w:cs="Times New Roman"/>
          <w:sz w:val="28"/>
          <w:szCs w:val="28"/>
        </w:rPr>
        <w:t>соби у</w:t>
      </w:r>
      <w:r w:rsidRPr="00F14A04">
        <w:rPr>
          <w:rFonts w:ascii="Times New Roman" w:hAnsi="Times New Roman" w:cs="Times New Roman"/>
          <w:sz w:val="28"/>
          <w:szCs w:val="28"/>
        </w:rPr>
        <w:t xml:space="preserve"> ситуаціях, подібних до біженців, навіть за неможливості надання ними повної документації. Ми вітаємо запровадження Європейського паспорту кваліфікацій для біженців і будемо підтримувати подальше розширення його використання у наших системах.</w:t>
      </w:r>
    </w:p>
    <w:p w:rsidR="0047070E" w:rsidRPr="00F14A04" w:rsidRDefault="00957CBB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визнаємо прогрес, досягнутий у розвитку систем забезпечення якості відповідно до Стандартів та рекомендацій із забезпечення якості в Європейському просторі вищої освіти (ESG), </w:t>
      </w:r>
      <w:r w:rsidR="00BB5471" w:rsidRPr="00F14A04">
        <w:rPr>
          <w:rFonts w:ascii="Times New Roman" w:hAnsi="Times New Roman" w:cs="Times New Roman"/>
          <w:sz w:val="28"/>
          <w:szCs w:val="28"/>
        </w:rPr>
        <w:t>і ми зобов'язуємось усунути решту перешкод, у тому числі пов'язаних з транскорд</w:t>
      </w:r>
      <w:r w:rsidR="00D73A7E" w:rsidRPr="00F14A04">
        <w:rPr>
          <w:rFonts w:ascii="Times New Roman" w:hAnsi="Times New Roman" w:cs="Times New Roman"/>
          <w:sz w:val="28"/>
          <w:szCs w:val="28"/>
        </w:rPr>
        <w:t>онною діяльністю</w:t>
      </w:r>
      <w:r w:rsidR="00C053F7" w:rsidRPr="00F14A04">
        <w:rPr>
          <w:rFonts w:ascii="Times New Roman" w:hAnsi="Times New Roman" w:cs="Times New Roman"/>
          <w:sz w:val="28"/>
          <w:szCs w:val="28"/>
        </w:rPr>
        <w:t xml:space="preserve"> Агенцій</w:t>
      </w:r>
      <w:r w:rsidR="00D73A7E" w:rsidRPr="00F14A04">
        <w:rPr>
          <w:rFonts w:ascii="Times New Roman" w:hAnsi="Times New Roman" w:cs="Times New Roman"/>
          <w:sz w:val="28"/>
          <w:szCs w:val="28"/>
        </w:rPr>
        <w:t xml:space="preserve">, </w:t>
      </w:r>
      <w:r w:rsidR="00BB5471" w:rsidRPr="00F14A04">
        <w:rPr>
          <w:rFonts w:ascii="Times New Roman" w:hAnsi="Times New Roman" w:cs="Times New Roman"/>
          <w:sz w:val="28"/>
          <w:szCs w:val="28"/>
        </w:rPr>
        <w:t>зареєстрованих в Європейському реєстрі із забезпечення якості вищої освіти (EQAR)</w:t>
      </w:r>
      <w:r w:rsidR="00D73A7E" w:rsidRPr="00F14A04">
        <w:rPr>
          <w:rFonts w:ascii="Times New Roman" w:hAnsi="Times New Roman" w:cs="Times New Roman"/>
          <w:sz w:val="28"/>
          <w:szCs w:val="28"/>
        </w:rPr>
        <w:t>,</w:t>
      </w:r>
      <w:r w:rsidR="00C053F7"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B47F14" w:rsidRPr="00F14A04">
        <w:rPr>
          <w:rFonts w:ascii="Times New Roman" w:hAnsi="Times New Roman" w:cs="Times New Roman"/>
          <w:sz w:val="28"/>
          <w:szCs w:val="28"/>
        </w:rPr>
        <w:t>та використання</w:t>
      </w:r>
      <w:r w:rsidR="00BB5471" w:rsidRPr="00F14A04">
        <w:rPr>
          <w:rFonts w:ascii="Times New Roman" w:hAnsi="Times New Roman" w:cs="Times New Roman"/>
          <w:sz w:val="28"/>
          <w:szCs w:val="28"/>
        </w:rPr>
        <w:t xml:space="preserve"> Європейського підходу </w:t>
      </w:r>
      <w:r w:rsidR="00B47F14" w:rsidRPr="00F14A04">
        <w:rPr>
          <w:rFonts w:ascii="Times New Roman" w:hAnsi="Times New Roman" w:cs="Times New Roman"/>
          <w:sz w:val="28"/>
          <w:szCs w:val="28"/>
        </w:rPr>
        <w:t xml:space="preserve">щодо </w:t>
      </w:r>
      <w:r w:rsidR="00BB5471" w:rsidRPr="00F14A04">
        <w:rPr>
          <w:rFonts w:ascii="Times New Roman" w:hAnsi="Times New Roman" w:cs="Times New Roman"/>
          <w:sz w:val="28"/>
          <w:szCs w:val="28"/>
        </w:rPr>
        <w:t xml:space="preserve">забезпечення якості спільних програм. </w:t>
      </w:r>
      <w:r w:rsidR="005532AE" w:rsidRPr="00F14A04">
        <w:rPr>
          <w:rFonts w:ascii="Times New Roman" w:hAnsi="Times New Roman" w:cs="Times New Roman"/>
          <w:sz w:val="28"/>
          <w:szCs w:val="28"/>
        </w:rPr>
        <w:t>Ми зобов'язуємось вирішити питання та</w:t>
      </w:r>
      <w:r w:rsidR="00176866" w:rsidRPr="00F14A04">
        <w:rPr>
          <w:rFonts w:ascii="Times New Roman" w:hAnsi="Times New Roman" w:cs="Times New Roman"/>
          <w:sz w:val="28"/>
          <w:szCs w:val="28"/>
        </w:rPr>
        <w:t>ким чином</w:t>
      </w:r>
      <w:r w:rsidR="005532AE" w:rsidRPr="00F14A04">
        <w:rPr>
          <w:rFonts w:ascii="Times New Roman" w:hAnsi="Times New Roman" w:cs="Times New Roman"/>
          <w:sz w:val="28"/>
          <w:szCs w:val="28"/>
        </w:rPr>
        <w:t xml:space="preserve">, щоб наші заходи </w:t>
      </w:r>
      <w:r w:rsidR="00176866" w:rsidRPr="00F14A04">
        <w:rPr>
          <w:rFonts w:ascii="Times New Roman" w:hAnsi="Times New Roman" w:cs="Times New Roman"/>
          <w:sz w:val="28"/>
          <w:szCs w:val="28"/>
        </w:rPr>
        <w:t xml:space="preserve">щодо </w:t>
      </w:r>
      <w:r w:rsidR="005532AE" w:rsidRPr="00F14A04">
        <w:rPr>
          <w:rFonts w:ascii="Times New Roman" w:hAnsi="Times New Roman" w:cs="Times New Roman"/>
          <w:sz w:val="28"/>
          <w:szCs w:val="28"/>
        </w:rPr>
        <w:t xml:space="preserve">зовнішнього забезпечення якості охоплювали транснаціональну вищу освіту в </w:t>
      </w:r>
      <w:r w:rsidR="00252B6A" w:rsidRPr="00F14A04">
        <w:rPr>
          <w:rFonts w:ascii="Times New Roman" w:hAnsi="Times New Roman" w:cs="Times New Roman"/>
          <w:sz w:val="28"/>
          <w:szCs w:val="28"/>
        </w:rPr>
        <w:t xml:space="preserve">ЄПВО з </w:t>
      </w:r>
      <w:r w:rsidR="005532AE" w:rsidRPr="00F14A04">
        <w:rPr>
          <w:rFonts w:ascii="Times New Roman" w:hAnsi="Times New Roman" w:cs="Times New Roman"/>
          <w:sz w:val="28"/>
          <w:szCs w:val="28"/>
        </w:rPr>
        <w:t>рівним</w:t>
      </w:r>
      <w:r w:rsidR="00176866" w:rsidRPr="00F14A04">
        <w:rPr>
          <w:rFonts w:ascii="Times New Roman" w:hAnsi="Times New Roman" w:cs="Times New Roman"/>
          <w:sz w:val="28"/>
          <w:szCs w:val="28"/>
        </w:rPr>
        <w:t>и</w:t>
      </w:r>
      <w:r w:rsidR="005532AE" w:rsidRPr="00F14A04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="00B47F14"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252B6A" w:rsidRPr="00F14A04">
        <w:rPr>
          <w:rFonts w:ascii="Times New Roman" w:hAnsi="Times New Roman" w:cs="Times New Roman"/>
          <w:sz w:val="28"/>
          <w:szCs w:val="28"/>
        </w:rPr>
        <w:t>стосовно внутрішнього (</w:t>
      </w:r>
      <w:r w:rsidR="00C053F7" w:rsidRPr="00F14A04">
        <w:rPr>
          <w:rFonts w:ascii="Times New Roman" w:hAnsi="Times New Roman" w:cs="Times New Roman"/>
          <w:sz w:val="28"/>
          <w:szCs w:val="28"/>
        </w:rPr>
        <w:t>вітчизняного, домашнього</w:t>
      </w:r>
      <w:r w:rsidR="00252B6A" w:rsidRPr="00F14A04">
        <w:rPr>
          <w:rFonts w:ascii="Times New Roman" w:hAnsi="Times New Roman" w:cs="Times New Roman"/>
          <w:sz w:val="28"/>
          <w:szCs w:val="28"/>
        </w:rPr>
        <w:t xml:space="preserve">) забезпечення. </w:t>
      </w:r>
      <w:r w:rsidR="0047070E" w:rsidRPr="00F14A04">
        <w:rPr>
          <w:rFonts w:ascii="Times New Roman" w:hAnsi="Times New Roman" w:cs="Times New Roman"/>
          <w:sz w:val="28"/>
          <w:szCs w:val="28"/>
        </w:rPr>
        <w:t xml:space="preserve">З огляду </w:t>
      </w:r>
      <w:r w:rsidR="003E1349" w:rsidRPr="00F14A04">
        <w:rPr>
          <w:rFonts w:ascii="Times New Roman" w:hAnsi="Times New Roman" w:cs="Times New Roman"/>
          <w:sz w:val="28"/>
          <w:szCs w:val="28"/>
        </w:rPr>
        <w:t>те, необхідно запроваджувати і поглиблювати гнучкі і відкриті траєкторії</w:t>
      </w:r>
      <w:r w:rsidR="00D73A7E" w:rsidRPr="00F14A04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47070E" w:rsidRPr="00F14A04">
        <w:rPr>
          <w:rFonts w:ascii="Times New Roman" w:hAnsi="Times New Roman" w:cs="Times New Roman"/>
          <w:sz w:val="28"/>
          <w:szCs w:val="28"/>
        </w:rPr>
        <w:t xml:space="preserve">, </w:t>
      </w:r>
      <w:r w:rsidR="003E1349" w:rsidRPr="00F14A04">
        <w:rPr>
          <w:rFonts w:ascii="Times New Roman" w:hAnsi="Times New Roman" w:cs="Times New Roman"/>
          <w:sz w:val="28"/>
          <w:szCs w:val="28"/>
        </w:rPr>
        <w:t>малі складові/компоненти навчання, сине</w:t>
      </w:r>
      <w:r w:rsidR="00C053F7" w:rsidRPr="00F14A04">
        <w:rPr>
          <w:rFonts w:ascii="Times New Roman" w:hAnsi="Times New Roman" w:cs="Times New Roman"/>
          <w:sz w:val="28"/>
          <w:szCs w:val="28"/>
        </w:rPr>
        <w:t xml:space="preserve">ргію між закладами </w:t>
      </w:r>
      <w:r w:rsidR="00C053F7" w:rsidRPr="00F14A04">
        <w:rPr>
          <w:rFonts w:ascii="Times New Roman" w:hAnsi="Times New Roman" w:cs="Times New Roman"/>
          <w:sz w:val="28"/>
          <w:szCs w:val="28"/>
        </w:rPr>
        <w:lastRenderedPageBreak/>
        <w:t>вищої освіти, ми заохочуємо використання ESG для підтримки і вдосконалення інновацій у вищій освіті і забезпечення їх якості.</w:t>
      </w:r>
    </w:p>
    <w:p w:rsidR="00957CBB" w:rsidRPr="00F14A04" w:rsidRDefault="00DA342F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Ми зобов’язуємося посилити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співпрацю </w:t>
      </w:r>
      <w:r w:rsidR="001A1A20" w:rsidRPr="00F14A04">
        <w:rPr>
          <w:rFonts w:ascii="Times New Roman" w:hAnsi="Times New Roman" w:cs="Times New Roman"/>
          <w:sz w:val="28"/>
          <w:szCs w:val="28"/>
        </w:rPr>
        <w:t>і</w:t>
      </w:r>
      <w:r w:rsidR="00957CBB" w:rsidRPr="00F14A04">
        <w:rPr>
          <w:rFonts w:ascii="Times New Roman" w:hAnsi="Times New Roman" w:cs="Times New Roman"/>
          <w:sz w:val="28"/>
          <w:szCs w:val="28"/>
        </w:rPr>
        <w:t>з Європей</w:t>
      </w:r>
      <w:r w:rsidRPr="00F14A04">
        <w:rPr>
          <w:rFonts w:ascii="Times New Roman" w:hAnsi="Times New Roman" w:cs="Times New Roman"/>
          <w:sz w:val="28"/>
          <w:szCs w:val="28"/>
        </w:rPr>
        <w:t xml:space="preserve">ським дослідницьким простором. Ми 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закликаємо Групу супроводу Болонського процесу (BFUG) і надалі </w:t>
      </w:r>
      <w:r w:rsidRPr="00F14A04">
        <w:rPr>
          <w:rFonts w:ascii="Times New Roman" w:hAnsi="Times New Roman" w:cs="Times New Roman"/>
          <w:sz w:val="28"/>
          <w:szCs w:val="28"/>
        </w:rPr>
        <w:t>тісно спів</w:t>
      </w:r>
      <w:r w:rsidR="00957CBB" w:rsidRPr="00F14A04">
        <w:rPr>
          <w:rFonts w:ascii="Times New Roman" w:hAnsi="Times New Roman" w:cs="Times New Roman"/>
          <w:sz w:val="28"/>
          <w:szCs w:val="28"/>
        </w:rPr>
        <w:t>працювати із Комітетом у справах Європейс</w:t>
      </w:r>
      <w:r w:rsidR="001A1A20" w:rsidRPr="00F14A04">
        <w:rPr>
          <w:rFonts w:ascii="Times New Roman" w:hAnsi="Times New Roman" w:cs="Times New Roman"/>
          <w:sz w:val="28"/>
          <w:szCs w:val="28"/>
        </w:rPr>
        <w:t>ького дослідницького простору і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інновацій (ERAC) заради сприяння досягненню кращої синергії та узгодже</w:t>
      </w:r>
      <w:r w:rsidRPr="00F14A04">
        <w:rPr>
          <w:rFonts w:ascii="Times New Roman" w:hAnsi="Times New Roman" w:cs="Times New Roman"/>
          <w:sz w:val="28"/>
          <w:szCs w:val="28"/>
        </w:rPr>
        <w:t xml:space="preserve">ння політики у сферах освіти, 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досліджень й інновацій. </w:t>
      </w:r>
      <w:r w:rsidR="00D33B8E" w:rsidRPr="00F14A04">
        <w:rPr>
          <w:rFonts w:ascii="Times New Roman" w:hAnsi="Times New Roman" w:cs="Times New Roman"/>
          <w:sz w:val="28"/>
          <w:szCs w:val="28"/>
        </w:rPr>
        <w:t>Головна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увага приділятиметься розвитку навчання н</w:t>
      </w:r>
      <w:r w:rsidR="001A1A20" w:rsidRPr="00F14A04">
        <w:rPr>
          <w:rFonts w:ascii="Times New Roman" w:hAnsi="Times New Roman" w:cs="Times New Roman"/>
          <w:sz w:val="28"/>
          <w:szCs w:val="28"/>
        </w:rPr>
        <w:t xml:space="preserve">а основі досліджень, </w:t>
      </w:r>
      <w:r w:rsidRPr="00F14A04">
        <w:rPr>
          <w:rFonts w:ascii="Times New Roman" w:hAnsi="Times New Roman" w:cs="Times New Roman"/>
          <w:sz w:val="28"/>
          <w:szCs w:val="28"/>
        </w:rPr>
        <w:t>гарантуванню академічної і наукової свободи</w:t>
      </w:r>
      <w:r w:rsidR="002522FB" w:rsidRPr="00F14A04">
        <w:rPr>
          <w:rFonts w:ascii="Times New Roman" w:hAnsi="Times New Roman" w:cs="Times New Roman"/>
          <w:sz w:val="28"/>
          <w:szCs w:val="28"/>
        </w:rPr>
        <w:t>, сприяння досягненню</w:t>
      </w:r>
      <w:r w:rsidR="001A1A20" w:rsidRPr="00F14A04">
        <w:rPr>
          <w:rFonts w:ascii="Times New Roman" w:hAnsi="Times New Roman" w:cs="Times New Roman"/>
          <w:sz w:val="28"/>
          <w:szCs w:val="28"/>
        </w:rPr>
        <w:t xml:space="preserve"> Цілей сталого розвитку (</w:t>
      </w:r>
      <w:r w:rsidR="00957CBB" w:rsidRPr="00F14A04">
        <w:rPr>
          <w:rFonts w:ascii="Times New Roman" w:hAnsi="Times New Roman" w:cs="Times New Roman"/>
          <w:sz w:val="28"/>
          <w:szCs w:val="28"/>
        </w:rPr>
        <w:t>ЦСР</w:t>
      </w:r>
      <w:r w:rsidR="001A1A20" w:rsidRPr="00F14A04">
        <w:rPr>
          <w:rFonts w:ascii="Times New Roman" w:hAnsi="Times New Roman" w:cs="Times New Roman"/>
          <w:sz w:val="28"/>
          <w:szCs w:val="28"/>
        </w:rPr>
        <w:t>)</w:t>
      </w:r>
      <w:r w:rsidRPr="00F14A04">
        <w:rPr>
          <w:rFonts w:ascii="Times New Roman" w:hAnsi="Times New Roman" w:cs="Times New Roman"/>
          <w:sz w:val="28"/>
          <w:szCs w:val="28"/>
        </w:rPr>
        <w:t xml:space="preserve"> ООН</w:t>
      </w:r>
      <w:r w:rsidR="00957CBB" w:rsidRPr="00F14A04">
        <w:rPr>
          <w:rFonts w:ascii="Times New Roman" w:hAnsi="Times New Roman" w:cs="Times New Roman"/>
          <w:sz w:val="28"/>
          <w:szCs w:val="28"/>
        </w:rPr>
        <w:t>.</w:t>
      </w:r>
    </w:p>
    <w:p w:rsidR="00957CBB" w:rsidRPr="00F14A04" w:rsidRDefault="006373B0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беремо на себе зобов'язання побудувати більш тісно взаємопов'язану і сталу спільноту вищої освіти, 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що плекає </w:t>
      </w:r>
      <w:proofErr w:type="spellStart"/>
      <w:r w:rsidR="00957CBB" w:rsidRPr="00F14A04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="00957CBB" w:rsidRPr="00F14A04">
        <w:rPr>
          <w:rFonts w:ascii="Times New Roman" w:hAnsi="Times New Roman" w:cs="Times New Roman"/>
          <w:sz w:val="28"/>
          <w:szCs w:val="28"/>
        </w:rPr>
        <w:t>, комунік</w:t>
      </w:r>
      <w:r w:rsidR="000C6DE4" w:rsidRPr="00F14A04">
        <w:rPr>
          <w:rFonts w:ascii="Times New Roman" w:hAnsi="Times New Roman" w:cs="Times New Roman"/>
          <w:sz w:val="28"/>
          <w:szCs w:val="28"/>
        </w:rPr>
        <w:t>ацію, співпрацю і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солідарність, основоположні для </w:t>
      </w:r>
      <w:proofErr w:type="spellStart"/>
      <w:r w:rsidR="00957CBB" w:rsidRPr="00F14A04">
        <w:rPr>
          <w:rFonts w:ascii="Times New Roman" w:hAnsi="Times New Roman" w:cs="Times New Roman"/>
          <w:sz w:val="28"/>
          <w:szCs w:val="28"/>
        </w:rPr>
        <w:t>релевантності</w:t>
      </w:r>
      <w:proofErr w:type="spellEnd"/>
      <w:r w:rsidR="00957CBB" w:rsidRPr="00F14A04">
        <w:rPr>
          <w:rFonts w:ascii="Times New Roman" w:hAnsi="Times New Roman" w:cs="Times New Roman"/>
          <w:sz w:val="28"/>
          <w:szCs w:val="28"/>
        </w:rPr>
        <w:t xml:space="preserve"> та досконалості майбутнього ЄПВО. Щоб досягнути цього, ми зобов’язуємося інформувати наші нац</w:t>
      </w:r>
      <w:r w:rsidR="000C6DE4" w:rsidRPr="00F14A04">
        <w:rPr>
          <w:rFonts w:ascii="Times New Roman" w:hAnsi="Times New Roman" w:cs="Times New Roman"/>
          <w:sz w:val="28"/>
          <w:szCs w:val="28"/>
        </w:rPr>
        <w:t>іональні сектори вищої освіти і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залучати до процесів ЄПВО, а також тісно співпрацювати з асоціаціями студентів та університетів над розробленням й імплементацією національних реформ.</w:t>
      </w:r>
      <w:r w:rsidR="00AE7842" w:rsidRPr="00F14A04">
        <w:rPr>
          <w:rFonts w:ascii="Times New Roman" w:hAnsi="Times New Roman" w:cs="Times New Roman"/>
          <w:sz w:val="28"/>
          <w:szCs w:val="28"/>
        </w:rPr>
        <w:t xml:space="preserve"> Ми визнаємо важливість широких консультацій для визначення пріоритетів майбутнього ЄПВО і </w:t>
      </w:r>
      <w:r w:rsidR="00957CBB" w:rsidRPr="00F14A04">
        <w:rPr>
          <w:rFonts w:ascii="Times New Roman" w:hAnsi="Times New Roman" w:cs="Times New Roman"/>
          <w:sz w:val="28"/>
          <w:szCs w:val="28"/>
        </w:rPr>
        <w:t>звертаємося до Групи супроводу Болонського процесу (BFUG) з проханням організувати такі заходи ЄПВО як транснац</w:t>
      </w:r>
      <w:r w:rsidR="00AE7842" w:rsidRPr="00F14A04">
        <w:rPr>
          <w:rFonts w:ascii="Times New Roman" w:hAnsi="Times New Roman" w:cs="Times New Roman"/>
          <w:sz w:val="28"/>
          <w:szCs w:val="28"/>
        </w:rPr>
        <w:t>іональні семінари, практикуми і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слухання, призначені для більш широкої спільноти вищої освіти (студентів, академічних працівників і зовнішніх зацікавлених сторін (</w:t>
      </w:r>
      <w:proofErr w:type="spellStart"/>
      <w:r w:rsidR="00957CBB" w:rsidRPr="00F14A04">
        <w:rPr>
          <w:rFonts w:ascii="Times New Roman" w:hAnsi="Times New Roman" w:cs="Times New Roman"/>
          <w:sz w:val="28"/>
          <w:szCs w:val="28"/>
        </w:rPr>
        <w:t>стейкголдерів</w:t>
      </w:r>
      <w:proofErr w:type="spellEnd"/>
      <w:r w:rsidR="00957CBB" w:rsidRPr="00F14A04">
        <w:rPr>
          <w:rFonts w:ascii="Times New Roman" w:hAnsi="Times New Roman" w:cs="Times New Roman"/>
          <w:sz w:val="28"/>
          <w:szCs w:val="28"/>
        </w:rPr>
        <w:t>) для обговоре</w:t>
      </w:r>
      <w:r w:rsidR="00AE7842" w:rsidRPr="00F14A04">
        <w:rPr>
          <w:rFonts w:ascii="Times New Roman" w:hAnsi="Times New Roman" w:cs="Times New Roman"/>
          <w:sz w:val="28"/>
          <w:szCs w:val="28"/>
        </w:rPr>
        <w:t>ння поточних і майбутніх цілей та</w:t>
      </w:r>
      <w:r w:rsidR="00957CBB" w:rsidRPr="00F14A04">
        <w:rPr>
          <w:rFonts w:ascii="Times New Roman" w:hAnsi="Times New Roman" w:cs="Times New Roman"/>
          <w:sz w:val="28"/>
          <w:szCs w:val="28"/>
        </w:rPr>
        <w:t xml:space="preserve"> пошуку спільних шляхів їх досягнення.</w:t>
      </w:r>
    </w:p>
    <w:p w:rsidR="006B63C2" w:rsidRPr="00F14A04" w:rsidRDefault="006B63C2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ЄПВО у глобальному контексті</w:t>
      </w:r>
    </w:p>
    <w:p w:rsidR="006B63C2" w:rsidRPr="00F14A04" w:rsidRDefault="000C6DE4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Хоча пандемія COVID-19 унеможливила проведення Глобального політичного форуму, ми раді, що наша конференція включає глобальну сесію. </w:t>
      </w:r>
      <w:r w:rsidR="006B63C2" w:rsidRPr="00F14A04">
        <w:rPr>
          <w:rFonts w:ascii="Times New Roman" w:hAnsi="Times New Roman" w:cs="Times New Roman"/>
          <w:sz w:val="28"/>
          <w:szCs w:val="28"/>
        </w:rPr>
        <w:t>Ми підтверджуємо зобов’язання продовжувати міжнародний діалог щодо цінн</w:t>
      </w:r>
      <w:r w:rsidR="00603A7D" w:rsidRPr="00F14A04">
        <w:rPr>
          <w:rFonts w:ascii="Times New Roman" w:hAnsi="Times New Roman" w:cs="Times New Roman"/>
          <w:sz w:val="28"/>
          <w:szCs w:val="28"/>
        </w:rPr>
        <w:t>остей вищої освіти, стратегій і</w:t>
      </w:r>
      <w:r w:rsidR="006B63C2" w:rsidRPr="00F14A04">
        <w:rPr>
          <w:rFonts w:ascii="Times New Roman" w:hAnsi="Times New Roman" w:cs="Times New Roman"/>
          <w:sz w:val="28"/>
          <w:szCs w:val="28"/>
        </w:rPr>
        <w:t xml:space="preserve"> реформ, приділяючи уваг</w:t>
      </w:r>
      <w:r w:rsidRPr="00F14A04">
        <w:rPr>
          <w:rFonts w:ascii="Times New Roman" w:hAnsi="Times New Roman" w:cs="Times New Roman"/>
          <w:sz w:val="28"/>
          <w:szCs w:val="28"/>
        </w:rPr>
        <w:t>у досвіду ЄПВО та інших регіонів світу</w:t>
      </w:r>
      <w:r w:rsidR="006B63C2" w:rsidRPr="00F14A04">
        <w:rPr>
          <w:rFonts w:ascii="Times New Roman" w:hAnsi="Times New Roman" w:cs="Times New Roman"/>
          <w:sz w:val="28"/>
          <w:szCs w:val="28"/>
        </w:rPr>
        <w:t xml:space="preserve"> і звертаємось до </w:t>
      </w:r>
      <w:r w:rsidRPr="00F14A04">
        <w:rPr>
          <w:rFonts w:ascii="Times New Roman" w:hAnsi="Times New Roman" w:cs="Times New Roman"/>
          <w:sz w:val="28"/>
          <w:szCs w:val="28"/>
        </w:rPr>
        <w:t>Групи супроводу Болонського процесу (</w:t>
      </w:r>
      <w:r w:rsidR="006B63C2" w:rsidRPr="00F14A04">
        <w:rPr>
          <w:rFonts w:ascii="Times New Roman" w:hAnsi="Times New Roman" w:cs="Times New Roman"/>
          <w:sz w:val="28"/>
          <w:szCs w:val="28"/>
        </w:rPr>
        <w:t>BFUG</w:t>
      </w:r>
      <w:r w:rsidRPr="00F14A04">
        <w:rPr>
          <w:rFonts w:ascii="Times New Roman" w:hAnsi="Times New Roman" w:cs="Times New Roman"/>
          <w:sz w:val="28"/>
          <w:szCs w:val="28"/>
        </w:rPr>
        <w:t>)</w:t>
      </w:r>
      <w:r w:rsidR="006B63C2" w:rsidRPr="00F14A04">
        <w:rPr>
          <w:rFonts w:ascii="Times New Roman" w:hAnsi="Times New Roman" w:cs="Times New Roman"/>
          <w:sz w:val="28"/>
          <w:szCs w:val="28"/>
        </w:rPr>
        <w:t xml:space="preserve"> з проханням продовжувати розвивати і посилювати Глобальний діалог у найближчий період.</w:t>
      </w:r>
    </w:p>
    <w:p w:rsidR="00541EBE" w:rsidRPr="00F14A04" w:rsidRDefault="00541EB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вітаємо прийняття </w:t>
      </w:r>
      <w:r w:rsidR="00D455C4" w:rsidRPr="00F14A04">
        <w:rPr>
          <w:rFonts w:ascii="Times New Roman" w:hAnsi="Times New Roman" w:cs="Times New Roman"/>
          <w:sz w:val="28"/>
          <w:szCs w:val="28"/>
        </w:rPr>
        <w:t>ЮНЕСКО Глобальної конвенції із Визнання кваліфікацій</w:t>
      </w:r>
      <w:r w:rsidRPr="00F14A04">
        <w:rPr>
          <w:rFonts w:ascii="Times New Roman" w:hAnsi="Times New Roman" w:cs="Times New Roman"/>
          <w:sz w:val="28"/>
          <w:szCs w:val="28"/>
        </w:rPr>
        <w:t xml:space="preserve"> вищої освіти і зобов’язуємося швидко її ратифікувати заради сприяння чесному визнанню кваліфікацій і періодів навчання з-поза меж ЄПВО, використовуючи критерії оцінювання і звіти, що відповідають принц</w:t>
      </w:r>
      <w:r w:rsidR="00D33B8E" w:rsidRPr="00F14A04">
        <w:rPr>
          <w:rFonts w:ascii="Times New Roman" w:hAnsi="Times New Roman" w:cs="Times New Roman"/>
          <w:sz w:val="28"/>
          <w:szCs w:val="28"/>
        </w:rPr>
        <w:t>ипам Лісабонської Конвенції із В</w:t>
      </w:r>
      <w:r w:rsidRPr="00F14A04">
        <w:rPr>
          <w:rFonts w:ascii="Times New Roman" w:hAnsi="Times New Roman" w:cs="Times New Roman"/>
          <w:sz w:val="28"/>
          <w:szCs w:val="28"/>
        </w:rPr>
        <w:t>изнання.</w:t>
      </w:r>
    </w:p>
    <w:p w:rsidR="00381482" w:rsidRPr="00F14A04" w:rsidRDefault="00381482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lastRenderedPageBreak/>
        <w:t xml:space="preserve">Ми цінуємо включення до, нещодавно оновленої, Великої Хартії Університетів глобальних цінностей різноманітності </w:t>
      </w:r>
      <w:r w:rsidR="00783FF9" w:rsidRPr="00F14A04">
        <w:rPr>
          <w:rFonts w:ascii="Times New Roman" w:hAnsi="Times New Roman" w:cs="Times New Roman"/>
          <w:sz w:val="28"/>
          <w:szCs w:val="28"/>
        </w:rPr>
        <w:t>та соціальної</w:t>
      </w:r>
      <w:r w:rsidRPr="00F14A04">
        <w:rPr>
          <w:rFonts w:ascii="Times New Roman" w:hAnsi="Times New Roman" w:cs="Times New Roman"/>
          <w:sz w:val="28"/>
          <w:szCs w:val="28"/>
        </w:rPr>
        <w:t xml:space="preserve"> і</w:t>
      </w:r>
      <w:r w:rsidR="00783FF9" w:rsidRPr="00F14A04">
        <w:rPr>
          <w:rFonts w:ascii="Times New Roman" w:hAnsi="Times New Roman" w:cs="Times New Roman"/>
          <w:sz w:val="28"/>
          <w:szCs w:val="28"/>
        </w:rPr>
        <w:t xml:space="preserve"> громадянської відповідальності</w:t>
      </w:r>
      <w:r w:rsidRPr="00F14A04">
        <w:rPr>
          <w:rFonts w:ascii="Times New Roman" w:hAnsi="Times New Roman" w:cs="Times New Roman"/>
          <w:sz w:val="28"/>
          <w:szCs w:val="28"/>
        </w:rPr>
        <w:t xml:space="preserve"> університетської освіти.</w:t>
      </w:r>
    </w:p>
    <w:p w:rsidR="00541EBE" w:rsidRPr="00F14A04" w:rsidRDefault="00541EBE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04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603A7D" w:rsidRPr="00F14A04" w:rsidRDefault="00541EBE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закликаємо </w:t>
      </w:r>
      <w:r w:rsidR="0089570C" w:rsidRPr="00F14A04">
        <w:rPr>
          <w:rFonts w:ascii="Times New Roman" w:hAnsi="Times New Roman" w:cs="Times New Roman"/>
          <w:sz w:val="28"/>
          <w:szCs w:val="28"/>
        </w:rPr>
        <w:t>Групу супроводу Болонського процесу (</w:t>
      </w:r>
      <w:r w:rsidRPr="00F14A04">
        <w:rPr>
          <w:rFonts w:ascii="Times New Roman" w:hAnsi="Times New Roman" w:cs="Times New Roman"/>
          <w:sz w:val="28"/>
          <w:szCs w:val="28"/>
        </w:rPr>
        <w:t>BFUG</w:t>
      </w:r>
      <w:r w:rsidR="0089570C" w:rsidRPr="00F14A04">
        <w:rPr>
          <w:rFonts w:ascii="Times New Roman" w:hAnsi="Times New Roman" w:cs="Times New Roman"/>
          <w:sz w:val="28"/>
          <w:szCs w:val="28"/>
        </w:rPr>
        <w:t>)</w:t>
      </w:r>
      <w:r w:rsidRPr="00F14A04">
        <w:rPr>
          <w:rFonts w:ascii="Times New Roman" w:hAnsi="Times New Roman" w:cs="Times New Roman"/>
          <w:sz w:val="28"/>
          <w:szCs w:val="28"/>
        </w:rPr>
        <w:t xml:space="preserve"> звернутись до дій та пріоритетів, визначених на наступне десятирі</w:t>
      </w:r>
      <w:r w:rsidR="0089570C" w:rsidRPr="00F14A04">
        <w:rPr>
          <w:rFonts w:ascii="Times New Roman" w:hAnsi="Times New Roman" w:cs="Times New Roman"/>
          <w:sz w:val="28"/>
          <w:szCs w:val="28"/>
        </w:rPr>
        <w:t>ччя, із загальною метою створення Європейського</w:t>
      </w:r>
      <w:r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89570C" w:rsidRPr="00F14A04">
        <w:rPr>
          <w:rFonts w:ascii="Times New Roman" w:hAnsi="Times New Roman" w:cs="Times New Roman"/>
          <w:sz w:val="28"/>
          <w:szCs w:val="28"/>
        </w:rPr>
        <w:t>простору</w:t>
      </w:r>
      <w:r w:rsidR="001D6495" w:rsidRPr="00F14A04">
        <w:rPr>
          <w:rFonts w:ascii="Times New Roman" w:hAnsi="Times New Roman" w:cs="Times New Roman"/>
          <w:sz w:val="28"/>
          <w:szCs w:val="28"/>
        </w:rPr>
        <w:t xml:space="preserve"> вищої освіти, що реалізує</w:t>
      </w:r>
      <w:r w:rsidRPr="00F14A04">
        <w:rPr>
          <w:rFonts w:ascii="Times New Roman" w:hAnsi="Times New Roman" w:cs="Times New Roman"/>
          <w:sz w:val="28"/>
          <w:szCs w:val="28"/>
        </w:rPr>
        <w:t xml:space="preserve"> наше бачення (</w:t>
      </w:r>
      <w:proofErr w:type="spellStart"/>
      <w:r w:rsidR="0089570C" w:rsidRPr="00F14A04">
        <w:rPr>
          <w:rFonts w:ascii="Times New Roman" w:hAnsi="Times New Roman" w:cs="Times New Roman"/>
          <w:sz w:val="28"/>
          <w:szCs w:val="28"/>
        </w:rPr>
        <w:t>візію</w:t>
      </w:r>
      <w:proofErr w:type="spellEnd"/>
      <w:r w:rsidR="0089570C" w:rsidRPr="00F14A04">
        <w:rPr>
          <w:rFonts w:ascii="Times New Roman" w:hAnsi="Times New Roman" w:cs="Times New Roman"/>
          <w:sz w:val="28"/>
          <w:szCs w:val="28"/>
        </w:rPr>
        <w:t>) та досягає наших цілей</w:t>
      </w:r>
      <w:r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89570C" w:rsidRPr="00F14A04">
        <w:rPr>
          <w:rFonts w:ascii="Times New Roman" w:hAnsi="Times New Roman" w:cs="Times New Roman"/>
          <w:sz w:val="28"/>
          <w:szCs w:val="28"/>
        </w:rPr>
        <w:t xml:space="preserve">до </w:t>
      </w:r>
      <w:r w:rsidRPr="00F14A04">
        <w:rPr>
          <w:rFonts w:ascii="Times New Roman" w:hAnsi="Times New Roman" w:cs="Times New Roman"/>
          <w:sz w:val="28"/>
          <w:szCs w:val="28"/>
        </w:rPr>
        <w:t>2030 року.</w:t>
      </w:r>
      <w:r w:rsidR="00D81F29" w:rsidRPr="00F14A04">
        <w:rPr>
          <w:rFonts w:ascii="Times New Roman" w:hAnsi="Times New Roman" w:cs="Times New Roman"/>
          <w:sz w:val="28"/>
          <w:szCs w:val="28"/>
        </w:rPr>
        <w:t xml:space="preserve"> </w:t>
      </w:r>
      <w:r w:rsidR="00603A7D" w:rsidRPr="00F14A04">
        <w:rPr>
          <w:rFonts w:ascii="Times New Roman" w:hAnsi="Times New Roman" w:cs="Times New Roman"/>
          <w:sz w:val="28"/>
          <w:szCs w:val="28"/>
        </w:rPr>
        <w:t xml:space="preserve">Ми доручаємо Групі супроводу Болонського процесу (BFUG) підготувати звіт </w:t>
      </w:r>
      <w:r w:rsidR="001D6495" w:rsidRPr="00F14A04">
        <w:rPr>
          <w:rFonts w:ascii="Times New Roman" w:hAnsi="Times New Roman" w:cs="Times New Roman"/>
          <w:sz w:val="28"/>
          <w:szCs w:val="28"/>
        </w:rPr>
        <w:t>із за</w:t>
      </w:r>
      <w:r w:rsidR="00603A7D" w:rsidRPr="00F14A04">
        <w:rPr>
          <w:rFonts w:ascii="Times New Roman" w:hAnsi="Times New Roman" w:cs="Times New Roman"/>
          <w:sz w:val="28"/>
          <w:szCs w:val="28"/>
        </w:rPr>
        <w:t>провадження для нашої конференції у</w:t>
      </w:r>
      <w:r w:rsidR="0089570C" w:rsidRPr="00F14A04">
        <w:rPr>
          <w:rFonts w:ascii="Times New Roman" w:hAnsi="Times New Roman" w:cs="Times New Roman"/>
          <w:sz w:val="28"/>
          <w:szCs w:val="28"/>
        </w:rPr>
        <w:t xml:space="preserve"> 2024 році, </w:t>
      </w:r>
      <w:r w:rsidR="00603A7D" w:rsidRPr="00F14A04">
        <w:rPr>
          <w:rFonts w:ascii="Times New Roman" w:hAnsi="Times New Roman" w:cs="Times New Roman"/>
          <w:sz w:val="28"/>
          <w:szCs w:val="28"/>
        </w:rPr>
        <w:t>що оцінює прогрес у виконанні наших узгоджених зобов'язань.</w:t>
      </w:r>
    </w:p>
    <w:p w:rsidR="00541EBE" w:rsidRPr="00F14A04" w:rsidRDefault="00541EBE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 xml:space="preserve">Ми із вдячністю приймаємо пропозицію Албанії </w:t>
      </w:r>
      <w:r w:rsidR="00603A7D" w:rsidRPr="00F14A04">
        <w:rPr>
          <w:rFonts w:ascii="Times New Roman" w:hAnsi="Times New Roman" w:cs="Times New Roman"/>
          <w:sz w:val="28"/>
          <w:szCs w:val="28"/>
        </w:rPr>
        <w:t>прийняти в</w:t>
      </w:r>
      <w:r w:rsidRPr="00F14A04">
        <w:rPr>
          <w:rFonts w:ascii="Times New Roman" w:hAnsi="Times New Roman" w:cs="Times New Roman"/>
          <w:sz w:val="28"/>
          <w:szCs w:val="28"/>
        </w:rPr>
        <w:t xml:space="preserve"> себе наступну Міністерську конференцію ЄПВО та Болонський глобальний політичний форум у Тірані в 2024 році.</w:t>
      </w:r>
    </w:p>
    <w:p w:rsidR="00541EBE" w:rsidRPr="00F14A04" w:rsidRDefault="00541EBE" w:rsidP="003E3917">
      <w:pPr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A04">
        <w:rPr>
          <w:rFonts w:ascii="Times New Roman" w:hAnsi="Times New Roman" w:cs="Times New Roman"/>
          <w:b/>
          <w:sz w:val="28"/>
          <w:szCs w:val="28"/>
        </w:rPr>
        <w:t>Додатки</w:t>
      </w:r>
    </w:p>
    <w:p w:rsidR="00541EBE" w:rsidRPr="00F14A04" w:rsidRDefault="00541EB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1</w:t>
      </w:r>
      <w:r w:rsidR="00A15B3D" w:rsidRPr="00F14A04">
        <w:rPr>
          <w:rFonts w:ascii="Times New Roman" w:hAnsi="Times New Roman" w:cs="Times New Roman"/>
          <w:sz w:val="28"/>
          <w:szCs w:val="28"/>
        </w:rPr>
        <w:t>. </w:t>
      </w:r>
      <w:r w:rsidRPr="00F14A04">
        <w:rPr>
          <w:rFonts w:ascii="Times New Roman" w:hAnsi="Times New Roman" w:cs="Times New Roman"/>
          <w:sz w:val="28"/>
          <w:szCs w:val="28"/>
        </w:rPr>
        <w:t>Заява щодо академічної свободи;</w:t>
      </w:r>
    </w:p>
    <w:p w:rsidR="00541EBE" w:rsidRPr="00F14A04" w:rsidRDefault="00541EB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2. Принципи та рекомендації щодо посилення соціального виміру вищої освіти у ЄПВО;</w:t>
      </w:r>
    </w:p>
    <w:p w:rsidR="00EC5C89" w:rsidRPr="00F14A04" w:rsidRDefault="00541EBE" w:rsidP="00F14A04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04">
        <w:rPr>
          <w:rFonts w:ascii="Times New Roman" w:hAnsi="Times New Roman" w:cs="Times New Roman"/>
          <w:sz w:val="28"/>
          <w:szCs w:val="28"/>
        </w:rPr>
        <w:t>3. Рекомендації для національної/урядово</w:t>
      </w:r>
      <w:r w:rsidR="00503E46" w:rsidRPr="00F14A04">
        <w:rPr>
          <w:rFonts w:ascii="Times New Roman" w:hAnsi="Times New Roman" w:cs="Times New Roman"/>
          <w:sz w:val="28"/>
          <w:szCs w:val="28"/>
        </w:rPr>
        <w:t>ї підтримки/дії щодо покращення</w:t>
      </w:r>
      <w:r w:rsidR="00EE7490" w:rsidRPr="00F14A04">
        <w:rPr>
          <w:rFonts w:ascii="Times New Roman" w:hAnsi="Times New Roman" w:cs="Times New Roman"/>
          <w:sz w:val="28"/>
          <w:szCs w:val="28"/>
        </w:rPr>
        <w:t xml:space="preserve"> навчання і</w:t>
      </w:r>
      <w:r w:rsidRPr="00F14A04">
        <w:rPr>
          <w:rFonts w:ascii="Times New Roman" w:hAnsi="Times New Roman" w:cs="Times New Roman"/>
          <w:sz w:val="28"/>
          <w:szCs w:val="28"/>
        </w:rPr>
        <w:t xml:space="preserve"> виклада</w:t>
      </w:r>
      <w:r w:rsidR="00EE7490" w:rsidRPr="00F14A04">
        <w:rPr>
          <w:rFonts w:ascii="Times New Roman" w:hAnsi="Times New Roman" w:cs="Times New Roman"/>
          <w:sz w:val="28"/>
          <w:szCs w:val="28"/>
        </w:rPr>
        <w:t>ння у вищій освіті в</w:t>
      </w:r>
      <w:r w:rsidRPr="00F14A04">
        <w:rPr>
          <w:rFonts w:ascii="Times New Roman" w:hAnsi="Times New Roman" w:cs="Times New Roman"/>
          <w:sz w:val="28"/>
          <w:szCs w:val="28"/>
        </w:rPr>
        <w:t xml:space="preserve"> ЄПВО </w:t>
      </w:r>
      <w:r w:rsidR="00D81F29" w:rsidRPr="00F14A04">
        <w:rPr>
          <w:rFonts w:ascii="Times New Roman" w:hAnsi="Times New Roman" w:cs="Times New Roman"/>
          <w:sz w:val="28"/>
          <w:szCs w:val="28"/>
        </w:rPr>
        <w:t>.</w:t>
      </w:r>
    </w:p>
    <w:sectPr w:rsidR="00EC5C89" w:rsidRPr="00F14A04" w:rsidSect="00F14A0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42" w:rsidRDefault="00F97942" w:rsidP="00DB5186">
      <w:pPr>
        <w:spacing w:after="0" w:line="240" w:lineRule="auto"/>
      </w:pPr>
      <w:r>
        <w:separator/>
      </w:r>
    </w:p>
  </w:endnote>
  <w:endnote w:type="continuationSeparator" w:id="0">
    <w:p w:rsidR="00F97942" w:rsidRDefault="00F97942" w:rsidP="00DB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42" w:rsidRDefault="00F97942" w:rsidP="00DB5186">
      <w:pPr>
        <w:spacing w:after="0" w:line="240" w:lineRule="auto"/>
      </w:pPr>
      <w:r>
        <w:separator/>
      </w:r>
    </w:p>
  </w:footnote>
  <w:footnote w:type="continuationSeparator" w:id="0">
    <w:p w:rsidR="00F97942" w:rsidRDefault="00F97942" w:rsidP="00DB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3329"/>
      <w:docPartObj>
        <w:docPartGallery w:val="Page Numbers (Top of Page)"/>
        <w:docPartUnique/>
      </w:docPartObj>
    </w:sdtPr>
    <w:sdtContent>
      <w:p w:rsidR="00F14A04" w:rsidRDefault="00F14A04">
        <w:pPr>
          <w:pStyle w:val="a5"/>
          <w:jc w:val="center"/>
        </w:pPr>
        <w:fldSimple w:instr=" PAGE   \* MERGEFORMAT ">
          <w:r w:rsidR="005B30B0">
            <w:rPr>
              <w:noProof/>
            </w:rPr>
            <w:t>9</w:t>
          </w:r>
        </w:fldSimple>
      </w:p>
    </w:sdtContent>
  </w:sdt>
  <w:p w:rsidR="00F14A04" w:rsidRDefault="00F14A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DC9"/>
    <w:multiLevelType w:val="hybridMultilevel"/>
    <w:tmpl w:val="9E9EC1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078F6"/>
    <w:multiLevelType w:val="hybridMultilevel"/>
    <w:tmpl w:val="622CC45E"/>
    <w:lvl w:ilvl="0" w:tplc="3ED0367A">
      <w:start w:val="1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02685"/>
    <w:multiLevelType w:val="hybridMultilevel"/>
    <w:tmpl w:val="742A0FFE"/>
    <w:lvl w:ilvl="0" w:tplc="A89CDB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bA0NjE3MzIytDCxNDZU0lEKTi0uzszPAykwqQUA7wV4UywAAAA="/>
  </w:docVars>
  <w:rsids>
    <w:rsidRoot w:val="003C3C8D"/>
    <w:rsid w:val="000003AD"/>
    <w:rsid w:val="00006BF8"/>
    <w:rsid w:val="00020460"/>
    <w:rsid w:val="000430AA"/>
    <w:rsid w:val="000466E7"/>
    <w:rsid w:val="00053EC1"/>
    <w:rsid w:val="000614FD"/>
    <w:rsid w:val="00075C87"/>
    <w:rsid w:val="00095105"/>
    <w:rsid w:val="000B20FA"/>
    <w:rsid w:val="000B39A9"/>
    <w:rsid w:val="000C6DE4"/>
    <w:rsid w:val="000E76E9"/>
    <w:rsid w:val="00104B63"/>
    <w:rsid w:val="00110183"/>
    <w:rsid w:val="00114667"/>
    <w:rsid w:val="00115BD0"/>
    <w:rsid w:val="00131815"/>
    <w:rsid w:val="00134E47"/>
    <w:rsid w:val="00143270"/>
    <w:rsid w:val="001474E4"/>
    <w:rsid w:val="00176866"/>
    <w:rsid w:val="001973A1"/>
    <w:rsid w:val="001A1A20"/>
    <w:rsid w:val="001A1D04"/>
    <w:rsid w:val="001B71F9"/>
    <w:rsid w:val="001C0EB9"/>
    <w:rsid w:val="001C2445"/>
    <w:rsid w:val="001C73E0"/>
    <w:rsid w:val="001D6495"/>
    <w:rsid w:val="001E60C6"/>
    <w:rsid w:val="001F14CE"/>
    <w:rsid w:val="00200154"/>
    <w:rsid w:val="002206F6"/>
    <w:rsid w:val="00222DE9"/>
    <w:rsid w:val="0023641D"/>
    <w:rsid w:val="00237C29"/>
    <w:rsid w:val="00251C08"/>
    <w:rsid w:val="002522FB"/>
    <w:rsid w:val="00252B6A"/>
    <w:rsid w:val="00270003"/>
    <w:rsid w:val="00273095"/>
    <w:rsid w:val="00286E1B"/>
    <w:rsid w:val="00291751"/>
    <w:rsid w:val="002B5D32"/>
    <w:rsid w:val="002C4B10"/>
    <w:rsid w:val="002F47C7"/>
    <w:rsid w:val="0032025A"/>
    <w:rsid w:val="00323596"/>
    <w:rsid w:val="00327FB7"/>
    <w:rsid w:val="00330E58"/>
    <w:rsid w:val="00334FAC"/>
    <w:rsid w:val="00346281"/>
    <w:rsid w:val="00350210"/>
    <w:rsid w:val="0036535B"/>
    <w:rsid w:val="003654F6"/>
    <w:rsid w:val="00376FCF"/>
    <w:rsid w:val="0038037B"/>
    <w:rsid w:val="00381482"/>
    <w:rsid w:val="00384BF7"/>
    <w:rsid w:val="003866D1"/>
    <w:rsid w:val="0039117E"/>
    <w:rsid w:val="00392D6A"/>
    <w:rsid w:val="00393AF6"/>
    <w:rsid w:val="003B33CF"/>
    <w:rsid w:val="003B57D8"/>
    <w:rsid w:val="003C3C8D"/>
    <w:rsid w:val="003C652F"/>
    <w:rsid w:val="003E1349"/>
    <w:rsid w:val="003E1CCB"/>
    <w:rsid w:val="003E3917"/>
    <w:rsid w:val="004152EB"/>
    <w:rsid w:val="00415E58"/>
    <w:rsid w:val="0041608B"/>
    <w:rsid w:val="004406EC"/>
    <w:rsid w:val="00441B62"/>
    <w:rsid w:val="00445D29"/>
    <w:rsid w:val="004539FF"/>
    <w:rsid w:val="00466CA2"/>
    <w:rsid w:val="0047070E"/>
    <w:rsid w:val="0049668C"/>
    <w:rsid w:val="004A37F3"/>
    <w:rsid w:val="004B2C99"/>
    <w:rsid w:val="004D423E"/>
    <w:rsid w:val="004F5A6C"/>
    <w:rsid w:val="004F6E9E"/>
    <w:rsid w:val="00503E46"/>
    <w:rsid w:val="0050471F"/>
    <w:rsid w:val="00513DD1"/>
    <w:rsid w:val="00537046"/>
    <w:rsid w:val="00541EBE"/>
    <w:rsid w:val="00544372"/>
    <w:rsid w:val="005450FA"/>
    <w:rsid w:val="005532AE"/>
    <w:rsid w:val="00584288"/>
    <w:rsid w:val="005B2F27"/>
    <w:rsid w:val="005B30B0"/>
    <w:rsid w:val="005C025B"/>
    <w:rsid w:val="005C1952"/>
    <w:rsid w:val="005D6F4C"/>
    <w:rsid w:val="005E039E"/>
    <w:rsid w:val="005E0E83"/>
    <w:rsid w:val="005E2275"/>
    <w:rsid w:val="005E322F"/>
    <w:rsid w:val="005E327B"/>
    <w:rsid w:val="005F3610"/>
    <w:rsid w:val="006017D8"/>
    <w:rsid w:val="00603A7D"/>
    <w:rsid w:val="00605152"/>
    <w:rsid w:val="00612D02"/>
    <w:rsid w:val="0061755D"/>
    <w:rsid w:val="00633FF3"/>
    <w:rsid w:val="006373B0"/>
    <w:rsid w:val="00652746"/>
    <w:rsid w:val="00661D7C"/>
    <w:rsid w:val="00664034"/>
    <w:rsid w:val="006675F5"/>
    <w:rsid w:val="006851B5"/>
    <w:rsid w:val="006854E2"/>
    <w:rsid w:val="006912EC"/>
    <w:rsid w:val="00691E0C"/>
    <w:rsid w:val="006B63C2"/>
    <w:rsid w:val="006C3D40"/>
    <w:rsid w:val="006C551B"/>
    <w:rsid w:val="006C5C0F"/>
    <w:rsid w:val="006F5393"/>
    <w:rsid w:val="006F7920"/>
    <w:rsid w:val="00701BEA"/>
    <w:rsid w:val="00702AF0"/>
    <w:rsid w:val="00702C7C"/>
    <w:rsid w:val="00703EA1"/>
    <w:rsid w:val="007067E3"/>
    <w:rsid w:val="007138A3"/>
    <w:rsid w:val="00733D79"/>
    <w:rsid w:val="0074189D"/>
    <w:rsid w:val="0076426E"/>
    <w:rsid w:val="00783FF9"/>
    <w:rsid w:val="007A0198"/>
    <w:rsid w:val="007A0390"/>
    <w:rsid w:val="007A09C5"/>
    <w:rsid w:val="007C7B47"/>
    <w:rsid w:val="007D022C"/>
    <w:rsid w:val="007E796B"/>
    <w:rsid w:val="0082124D"/>
    <w:rsid w:val="008223BB"/>
    <w:rsid w:val="00824FFB"/>
    <w:rsid w:val="00835A0E"/>
    <w:rsid w:val="0084329D"/>
    <w:rsid w:val="00851CF3"/>
    <w:rsid w:val="00864851"/>
    <w:rsid w:val="008752EE"/>
    <w:rsid w:val="008811BB"/>
    <w:rsid w:val="00885C60"/>
    <w:rsid w:val="0089570C"/>
    <w:rsid w:val="008A26F2"/>
    <w:rsid w:val="008A5865"/>
    <w:rsid w:val="008E3D36"/>
    <w:rsid w:val="008E3DBA"/>
    <w:rsid w:val="009005D9"/>
    <w:rsid w:val="009163D3"/>
    <w:rsid w:val="009166C1"/>
    <w:rsid w:val="00923F21"/>
    <w:rsid w:val="00926A0F"/>
    <w:rsid w:val="00927012"/>
    <w:rsid w:val="00931A14"/>
    <w:rsid w:val="0094551C"/>
    <w:rsid w:val="0094662E"/>
    <w:rsid w:val="00957CBB"/>
    <w:rsid w:val="00964FCD"/>
    <w:rsid w:val="00972CB8"/>
    <w:rsid w:val="009769FA"/>
    <w:rsid w:val="009778CE"/>
    <w:rsid w:val="009A7992"/>
    <w:rsid w:val="009B23BE"/>
    <w:rsid w:val="009C3A0B"/>
    <w:rsid w:val="009C5B7F"/>
    <w:rsid w:val="009D4861"/>
    <w:rsid w:val="009D4CBF"/>
    <w:rsid w:val="009E2E8B"/>
    <w:rsid w:val="009E6449"/>
    <w:rsid w:val="009F26C4"/>
    <w:rsid w:val="009F3E2C"/>
    <w:rsid w:val="00A01347"/>
    <w:rsid w:val="00A1361B"/>
    <w:rsid w:val="00A15B3D"/>
    <w:rsid w:val="00A17663"/>
    <w:rsid w:val="00A24ADA"/>
    <w:rsid w:val="00A2648F"/>
    <w:rsid w:val="00A3101C"/>
    <w:rsid w:val="00A318FE"/>
    <w:rsid w:val="00A36BA3"/>
    <w:rsid w:val="00A40743"/>
    <w:rsid w:val="00A50D67"/>
    <w:rsid w:val="00A6033F"/>
    <w:rsid w:val="00A67057"/>
    <w:rsid w:val="00A74E7C"/>
    <w:rsid w:val="00A77225"/>
    <w:rsid w:val="00A92EAD"/>
    <w:rsid w:val="00AA1DB1"/>
    <w:rsid w:val="00AA3399"/>
    <w:rsid w:val="00AA7579"/>
    <w:rsid w:val="00AB1C81"/>
    <w:rsid w:val="00AD2912"/>
    <w:rsid w:val="00AE7842"/>
    <w:rsid w:val="00AF5882"/>
    <w:rsid w:val="00B073BA"/>
    <w:rsid w:val="00B12ECB"/>
    <w:rsid w:val="00B20E6D"/>
    <w:rsid w:val="00B242CB"/>
    <w:rsid w:val="00B25EF3"/>
    <w:rsid w:val="00B47F14"/>
    <w:rsid w:val="00B52716"/>
    <w:rsid w:val="00B60620"/>
    <w:rsid w:val="00B7253F"/>
    <w:rsid w:val="00B74B89"/>
    <w:rsid w:val="00B750BA"/>
    <w:rsid w:val="00B82503"/>
    <w:rsid w:val="00B87D6E"/>
    <w:rsid w:val="00B96E62"/>
    <w:rsid w:val="00BA217B"/>
    <w:rsid w:val="00BA57B1"/>
    <w:rsid w:val="00BA6AD8"/>
    <w:rsid w:val="00BB442A"/>
    <w:rsid w:val="00BB5471"/>
    <w:rsid w:val="00BD0384"/>
    <w:rsid w:val="00BD048A"/>
    <w:rsid w:val="00BD53C8"/>
    <w:rsid w:val="00BE20F4"/>
    <w:rsid w:val="00BE325C"/>
    <w:rsid w:val="00BE42F9"/>
    <w:rsid w:val="00C006E7"/>
    <w:rsid w:val="00C053F7"/>
    <w:rsid w:val="00C26F61"/>
    <w:rsid w:val="00C447A9"/>
    <w:rsid w:val="00C57516"/>
    <w:rsid w:val="00C66FA4"/>
    <w:rsid w:val="00C74088"/>
    <w:rsid w:val="00C8074F"/>
    <w:rsid w:val="00C85973"/>
    <w:rsid w:val="00CB0D09"/>
    <w:rsid w:val="00CB15A0"/>
    <w:rsid w:val="00CC3236"/>
    <w:rsid w:val="00CC3957"/>
    <w:rsid w:val="00CD5AEE"/>
    <w:rsid w:val="00D03B96"/>
    <w:rsid w:val="00D06047"/>
    <w:rsid w:val="00D25F09"/>
    <w:rsid w:val="00D33B8E"/>
    <w:rsid w:val="00D35CE3"/>
    <w:rsid w:val="00D429AB"/>
    <w:rsid w:val="00D454EE"/>
    <w:rsid w:val="00D455C4"/>
    <w:rsid w:val="00D577FE"/>
    <w:rsid w:val="00D64962"/>
    <w:rsid w:val="00D66C2A"/>
    <w:rsid w:val="00D72418"/>
    <w:rsid w:val="00D73A7E"/>
    <w:rsid w:val="00D81053"/>
    <w:rsid w:val="00D81F29"/>
    <w:rsid w:val="00D90826"/>
    <w:rsid w:val="00D950A3"/>
    <w:rsid w:val="00DA0B52"/>
    <w:rsid w:val="00DA0D19"/>
    <w:rsid w:val="00DA342F"/>
    <w:rsid w:val="00DB1C8B"/>
    <w:rsid w:val="00DB5186"/>
    <w:rsid w:val="00DB712F"/>
    <w:rsid w:val="00DD5535"/>
    <w:rsid w:val="00DE25D4"/>
    <w:rsid w:val="00E03802"/>
    <w:rsid w:val="00E03E00"/>
    <w:rsid w:val="00E140E7"/>
    <w:rsid w:val="00E21F2C"/>
    <w:rsid w:val="00E31E79"/>
    <w:rsid w:val="00E33201"/>
    <w:rsid w:val="00E444B5"/>
    <w:rsid w:val="00E53094"/>
    <w:rsid w:val="00E71CC2"/>
    <w:rsid w:val="00E81FD2"/>
    <w:rsid w:val="00EA3E6B"/>
    <w:rsid w:val="00EB4347"/>
    <w:rsid w:val="00EB6C18"/>
    <w:rsid w:val="00EC1487"/>
    <w:rsid w:val="00EC384D"/>
    <w:rsid w:val="00EC5C89"/>
    <w:rsid w:val="00ED395B"/>
    <w:rsid w:val="00ED4DC3"/>
    <w:rsid w:val="00ED7FC1"/>
    <w:rsid w:val="00EE4ADC"/>
    <w:rsid w:val="00EE7490"/>
    <w:rsid w:val="00EF0253"/>
    <w:rsid w:val="00EF02E6"/>
    <w:rsid w:val="00EF19D9"/>
    <w:rsid w:val="00F025C2"/>
    <w:rsid w:val="00F14A04"/>
    <w:rsid w:val="00F26666"/>
    <w:rsid w:val="00F266E5"/>
    <w:rsid w:val="00F45359"/>
    <w:rsid w:val="00F45714"/>
    <w:rsid w:val="00F52476"/>
    <w:rsid w:val="00F66EDB"/>
    <w:rsid w:val="00F73562"/>
    <w:rsid w:val="00F75378"/>
    <w:rsid w:val="00F77C46"/>
    <w:rsid w:val="00F81E67"/>
    <w:rsid w:val="00F97942"/>
    <w:rsid w:val="00FC5A05"/>
    <w:rsid w:val="00FD49F2"/>
    <w:rsid w:val="00FD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186"/>
  </w:style>
  <w:style w:type="paragraph" w:styleId="a7">
    <w:name w:val="footer"/>
    <w:basedOn w:val="a"/>
    <w:link w:val="a8"/>
    <w:uiPriority w:val="99"/>
    <w:unhideWhenUsed/>
    <w:rsid w:val="00DB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186"/>
  </w:style>
  <w:style w:type="paragraph" w:styleId="a9">
    <w:name w:val="Balloon Text"/>
    <w:basedOn w:val="a"/>
    <w:link w:val="aa"/>
    <w:uiPriority w:val="99"/>
    <w:semiHidden/>
    <w:unhideWhenUsed/>
    <w:rsid w:val="00EC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186"/>
  </w:style>
  <w:style w:type="paragraph" w:styleId="a7">
    <w:name w:val="footer"/>
    <w:basedOn w:val="a"/>
    <w:link w:val="a8"/>
    <w:uiPriority w:val="99"/>
    <w:unhideWhenUsed/>
    <w:rsid w:val="00DB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186"/>
  </w:style>
  <w:style w:type="paragraph" w:styleId="a9">
    <w:name w:val="Balloon Text"/>
    <w:basedOn w:val="a"/>
    <w:link w:val="aa"/>
    <w:uiPriority w:val="99"/>
    <w:semiHidden/>
    <w:unhideWhenUsed/>
    <w:rsid w:val="00EC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4304-56C4-4AF1-999A-748418B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3460</Words>
  <Characters>19728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Lyubov Margolina</dc:creator>
  <cp:lastModifiedBy>Пользователь</cp:lastModifiedBy>
  <cp:revision>6</cp:revision>
  <cp:lastPrinted>2020-12-18T11:14:00Z</cp:lastPrinted>
  <dcterms:created xsi:type="dcterms:W3CDTF">2020-12-21T08:01:00Z</dcterms:created>
  <dcterms:modified xsi:type="dcterms:W3CDTF">2020-12-22T12:30:00Z</dcterms:modified>
</cp:coreProperties>
</file>